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黑体" w:hAnsi="黑体" w:eastAsia="黑体"/>
          <w:bCs/>
          <w:sz w:val="72"/>
          <w:szCs w:val="72"/>
        </w:rPr>
      </w:pPr>
      <w:r>
        <w:rPr>
          <w:rFonts w:hint="eastAsia" w:ascii="黑体" w:hAnsi="黑体" w:eastAsia="黑体"/>
          <w:bCs/>
          <w:sz w:val="72"/>
          <w:szCs w:val="72"/>
        </w:rPr>
        <w:t>长沙市殡葬事务中心</w:t>
      </w:r>
    </w:p>
    <w:p>
      <w:pPr>
        <w:spacing w:line="400" w:lineRule="atLeast"/>
        <w:jc w:val="center"/>
        <w:rPr>
          <w:rFonts w:ascii="黑体" w:hAnsi="黑体" w:eastAsia="黑体"/>
          <w:bCs/>
          <w:sz w:val="72"/>
          <w:szCs w:val="72"/>
        </w:rPr>
      </w:pPr>
      <w:r>
        <w:rPr>
          <w:rFonts w:hint="eastAsia" w:ascii="黑体" w:hAnsi="黑体" w:eastAsia="黑体"/>
          <w:bCs/>
          <w:sz w:val="72"/>
          <w:szCs w:val="72"/>
        </w:rPr>
        <w:t>明阳山殡仪馆设施设备环保监测服务项目</w:t>
      </w:r>
    </w:p>
    <w:p>
      <w:pPr>
        <w:spacing w:line="400" w:lineRule="atLeast"/>
        <w:jc w:val="center"/>
        <w:rPr>
          <w:rFonts w:ascii="黑体" w:hAnsi="黑体" w:eastAsia="黑体"/>
          <w:bCs/>
          <w:sz w:val="72"/>
          <w:szCs w:val="72"/>
        </w:rPr>
      </w:pPr>
    </w:p>
    <w:p>
      <w:pPr>
        <w:spacing w:line="400" w:lineRule="atLeast"/>
        <w:jc w:val="center"/>
        <w:rPr>
          <w:rFonts w:ascii="黑体" w:hAnsi="黑体" w:eastAsia="黑体"/>
          <w:bCs/>
          <w:sz w:val="72"/>
          <w:szCs w:val="72"/>
        </w:rPr>
      </w:pPr>
    </w:p>
    <w:p>
      <w:pPr>
        <w:spacing w:line="400" w:lineRule="atLeast"/>
        <w:jc w:val="center"/>
        <w:rPr>
          <w:rFonts w:ascii="黑体" w:hAnsi="黑体" w:eastAsia="黑体"/>
          <w:bCs/>
          <w:sz w:val="72"/>
          <w:szCs w:val="72"/>
        </w:rPr>
      </w:pPr>
      <w:r>
        <w:rPr>
          <w:rFonts w:hint="eastAsia" w:ascii="黑体" w:hAnsi="黑体" w:eastAsia="黑体"/>
          <w:bCs/>
          <w:sz w:val="72"/>
          <w:szCs w:val="72"/>
        </w:rPr>
        <w:t>询价响应文件</w:t>
      </w:r>
    </w:p>
    <w:p/>
    <w:p>
      <w:pPr>
        <w:pStyle w:val="2"/>
        <w:ind w:left="440" w:firstLine="440"/>
      </w:pPr>
    </w:p>
    <w:p>
      <w:pPr>
        <w:pStyle w:val="4"/>
      </w:pPr>
    </w:p>
    <w:p>
      <w:pPr>
        <w:rPr>
          <w:rFonts w:ascii="黑体" w:hAnsi="宋体" w:eastAsia="黑体"/>
          <w:color w:val="000000"/>
          <w:sz w:val="32"/>
          <w:szCs w:val="32"/>
        </w:rPr>
      </w:pPr>
    </w:p>
    <w:p>
      <w:pPr>
        <w:rPr>
          <w:rFonts w:ascii="黑体" w:hAnsi="宋体" w:eastAsia="黑体"/>
          <w:color w:val="000000"/>
          <w:sz w:val="30"/>
          <w:szCs w:val="30"/>
        </w:rPr>
      </w:pPr>
    </w:p>
    <w:p>
      <w:pPr>
        <w:rPr>
          <w:rFonts w:ascii="黑体" w:hAnsi="宋体" w:eastAsia="黑体"/>
          <w:color w:val="000000"/>
          <w:sz w:val="30"/>
          <w:szCs w:val="30"/>
        </w:rPr>
      </w:pPr>
    </w:p>
    <w:p>
      <w:pPr>
        <w:ind w:left="1333" w:leftChars="606" w:firstLine="2"/>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jc w:val="center"/>
        <w:rPr>
          <w:rFonts w:ascii="黑体" w:hAnsi="宋体" w:eastAsia="黑体"/>
          <w:color w:val="000000"/>
          <w:sz w:val="32"/>
          <w:szCs w:val="32"/>
        </w:rPr>
      </w:pPr>
      <w:r>
        <w:rPr>
          <w:rFonts w:hint="eastAsia" w:ascii="黑体" w:hAnsi="宋体" w:eastAsia="黑体"/>
          <w:color w:val="000000"/>
          <w:sz w:val="32"/>
          <w:szCs w:val="32"/>
        </w:rPr>
        <w:t>年  月  日</w:t>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1、长沙市殡葬事务中心明阳山殡仪馆设施设备环保监测服务项目询价回执</w:t>
      </w:r>
    </w:p>
    <w:p>
      <w:pPr>
        <w:pStyle w:val="7"/>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pStyle w:val="7"/>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一、根据已收到的询价文件，我公司根据自身实际情况及研究询价文件后，愿以人民币（大写）：</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的总价，按询价文件的要求承包明阳山殡仪馆设施设备环保监测服务项目。</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三、加强现场管理，搞好现场文明服务工作，确保安全，进入服务区的管理人员和作业人员严格执行有关管理制度，遵守有关法律法规。</w:t>
      </w:r>
    </w:p>
    <w:p>
      <w:pPr>
        <w:pStyle w:val="8"/>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投标单位（盖章）：</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pPr>
        <w:pStyle w:val="8"/>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pPr>
        <w:pStyle w:val="8"/>
        <w:spacing w:line="220" w:lineRule="atLeas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rPr>
          <w:rFonts w:ascii="宋体" w:hAnsi="宋体" w:eastAsia="宋体"/>
          <w:b/>
          <w:color w:val="000000"/>
          <w:sz w:val="36"/>
          <w:szCs w:val="36"/>
        </w:rPr>
      </w:pPr>
      <w:r>
        <w:rPr>
          <w:rFonts w:hint="eastAsia" w:ascii="宋体" w:hAnsi="宋体" w:eastAsia="宋体"/>
          <w:b/>
          <w:color w:val="000000"/>
          <w:sz w:val="36"/>
          <w:szCs w:val="36"/>
        </w:rPr>
        <w:br w:type="page"/>
      </w:r>
    </w:p>
    <w:p>
      <w:pPr>
        <w:spacing w:line="480" w:lineRule="auto"/>
        <w:jc w:val="center"/>
        <w:rPr>
          <w:rFonts w:ascii="仿宋" w:hAnsi="仿宋" w:eastAsia="仿宋" w:cs="仿宋_GB2312"/>
        </w:rPr>
      </w:pPr>
      <w:r>
        <w:rPr>
          <w:rFonts w:hint="eastAsia" w:ascii="宋体" w:hAnsi="宋体" w:eastAsia="宋体"/>
          <w:b/>
          <w:color w:val="000000"/>
          <w:sz w:val="36"/>
          <w:szCs w:val="36"/>
        </w:rPr>
        <w:t>2、营业执照复印件及CMA环保监测资质（加盖公章）</w:t>
      </w:r>
    </w:p>
    <w:p>
      <w:pPr>
        <w:pStyle w:val="8"/>
        <w:spacing w:after="0" w:line="420" w:lineRule="exact"/>
        <w:ind w:left="720" w:firstLine="0" w:firstLineChars="0"/>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Lines="100" w:afterLines="100" w:line="360" w:lineRule="auto"/>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spacing w:line="480" w:lineRule="auto"/>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8"/>
        <w:spacing w:after="0" w:line="420" w:lineRule="exact"/>
        <w:ind w:left="720" w:firstLine="0" w:firstLineChars="0"/>
        <w:jc w:val="center"/>
        <w:rPr>
          <w:rFonts w:ascii="宋体" w:hAnsi="宋体" w:eastAsia="宋体"/>
          <w:b/>
          <w:color w:val="000000"/>
          <w:sz w:val="36"/>
          <w:szCs w:val="36"/>
        </w:rPr>
      </w:pPr>
    </w:p>
    <w:p>
      <w:pPr>
        <w:pStyle w:val="8"/>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8"/>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（项目编号、项目名称、包号）</w:t>
      </w:r>
      <w:r>
        <w:rPr>
          <w:rFonts w:hint="eastAsia" w:ascii="宋体" w:hAnsi="宋体" w:eastAsia="宋体"/>
          <w:sz w:val="21"/>
          <w:szCs w:val="21"/>
        </w:rPr>
        <w:t>采购活动，以我单位名义处理一切与之有关的事务。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center"/>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5、长沙市</w:t>
      </w:r>
      <w:r>
        <w:rPr>
          <w:rFonts w:ascii="宋体" w:hAnsi="宋体" w:eastAsia="宋体"/>
          <w:b/>
          <w:color w:val="000000"/>
          <w:sz w:val="36"/>
          <w:szCs w:val="36"/>
        </w:rPr>
        <w:t>殡葬事务中心</w:t>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 xml:space="preserve"> 明阳山殡仪馆设施设备环保监测服务项目报价表</w:t>
      </w:r>
    </w:p>
    <w:tbl>
      <w:tblPr>
        <w:tblStyle w:val="5"/>
        <w:tblW w:w="1058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35"/>
        <w:gridCol w:w="1139"/>
        <w:gridCol w:w="1880"/>
        <w:gridCol w:w="1335"/>
        <w:gridCol w:w="1095"/>
        <w:gridCol w:w="960"/>
        <w:gridCol w:w="1115"/>
        <w:gridCol w:w="1115"/>
        <w:gridCol w:w="11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7"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序号</w:t>
            </w:r>
          </w:p>
        </w:tc>
        <w:tc>
          <w:tcPr>
            <w:tcW w:w="1139"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类别</w:t>
            </w:r>
          </w:p>
        </w:tc>
        <w:tc>
          <w:tcPr>
            <w:tcW w:w="1880"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监测因子</w:t>
            </w:r>
          </w:p>
        </w:tc>
        <w:tc>
          <w:tcPr>
            <w:tcW w:w="133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计量单位</w:t>
            </w:r>
          </w:p>
        </w:tc>
        <w:tc>
          <w:tcPr>
            <w:tcW w:w="109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点位数</w:t>
            </w:r>
          </w:p>
        </w:tc>
        <w:tc>
          <w:tcPr>
            <w:tcW w:w="960"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频次</w:t>
            </w:r>
          </w:p>
        </w:tc>
        <w:tc>
          <w:tcPr>
            <w:tcW w:w="111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工程量</w:t>
            </w:r>
          </w:p>
        </w:tc>
        <w:tc>
          <w:tcPr>
            <w:tcW w:w="111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单价（元）</w:t>
            </w:r>
          </w:p>
        </w:tc>
        <w:tc>
          <w:tcPr>
            <w:tcW w:w="111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总价（元）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4" w:hRule="atLeast"/>
          <w:jc w:val="center"/>
        </w:trPr>
        <w:tc>
          <w:tcPr>
            <w:tcW w:w="835" w:type="dxa"/>
            <w:vMerge w:val="restart"/>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1139" w:type="dxa"/>
            <w:vMerge w:val="restart"/>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烟道烟气</w:t>
            </w: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林格曼黑度</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一组数据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6"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汞</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4"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氮氧化物</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8"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一氧化碳</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氯化氢</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6"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二氧化硫</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6" w:hRule="atLeast"/>
          <w:jc w:val="center"/>
        </w:trPr>
        <w:tc>
          <w:tcPr>
            <w:tcW w:w="835" w:type="dxa"/>
            <w:vMerge w:val="continue"/>
            <w:tcBorders>
              <w:top w:val="nil"/>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nil"/>
              <w:left w:val="nil"/>
              <w:bottom w:val="single" w:color="auto"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烟尘</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4" w:hRule="atLeast"/>
          <w:jc w:val="center"/>
        </w:trPr>
        <w:tc>
          <w:tcPr>
            <w:tcW w:w="8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2</w:t>
            </w:r>
          </w:p>
        </w:tc>
        <w:tc>
          <w:tcPr>
            <w:tcW w:w="1139"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焚烧废气</w:t>
            </w: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二噁英类</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孔·次</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15</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45</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4" w:hRule="atLeast"/>
          <w:jc w:val="center"/>
        </w:trPr>
        <w:tc>
          <w:tcPr>
            <w:tcW w:w="83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39"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生产废气</w:t>
            </w:r>
          </w:p>
        </w:tc>
        <w:tc>
          <w:tcPr>
            <w:tcW w:w="188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机械设备排气</w:t>
            </w:r>
          </w:p>
        </w:tc>
        <w:tc>
          <w:tcPr>
            <w:tcW w:w="133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孔·次</w:t>
            </w:r>
          </w:p>
        </w:tc>
        <w:tc>
          <w:tcPr>
            <w:tcW w:w="109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w:t>
            </w:r>
          </w:p>
        </w:tc>
        <w:tc>
          <w:tcPr>
            <w:tcW w:w="960"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12</w:t>
            </w: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4</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废水</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PH</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4"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SS</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BOD5</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8"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氨氮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COD</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5</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噪声</w:t>
            </w:r>
          </w:p>
        </w:tc>
        <w:tc>
          <w:tcPr>
            <w:tcW w:w="18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Ld、Ln</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一个数据</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jc w:val="center"/>
        </w:trPr>
        <w:tc>
          <w:tcPr>
            <w:tcW w:w="8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6</w:t>
            </w:r>
          </w:p>
        </w:tc>
        <w:tc>
          <w:tcPr>
            <w:tcW w:w="7524"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r>
              <w:rPr>
                <w:rFonts w:hint="eastAsia" w:ascii="宋体" w:hAnsi="宋体" w:eastAsia="宋体"/>
                <w:sz w:val="21"/>
                <w:szCs w:val="21"/>
              </w:rPr>
              <w:t>总费用（元）</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eastAsia="宋体"/>
                <w:sz w:val="21"/>
                <w:szCs w:val="21"/>
              </w:rPr>
            </w:pPr>
          </w:p>
        </w:tc>
      </w:tr>
    </w:tbl>
    <w:p>
      <w:pPr>
        <w:rPr>
          <w:rFonts w:ascii="宋体" w:hAnsi="宋体" w:eastAsia="宋体"/>
          <w:b/>
          <w:bCs/>
          <w:color w:val="000000"/>
          <w:sz w:val="18"/>
          <w:szCs w:val="18"/>
        </w:rPr>
      </w:pPr>
    </w:p>
    <w:p>
      <w:pPr>
        <w:rPr>
          <w:rFonts w:ascii="宋体" w:hAnsi="宋体" w:eastAsia="宋体"/>
          <w:b/>
          <w:bCs/>
          <w:color w:val="000000"/>
          <w:sz w:val="18"/>
          <w:szCs w:val="18"/>
        </w:rPr>
      </w:pPr>
      <w:r>
        <w:rPr>
          <w:rFonts w:hint="eastAsia" w:ascii="宋体" w:hAnsi="宋体" w:eastAsia="宋体"/>
          <w:b/>
          <w:bCs/>
          <w:color w:val="000000"/>
          <w:sz w:val="18"/>
          <w:szCs w:val="18"/>
        </w:rPr>
        <w:t>注：1、投标单价合计总价不能超过项目总限价，否则为无效投标。</w:t>
      </w:r>
    </w:p>
    <w:p>
      <w:pPr>
        <w:pStyle w:val="2"/>
        <w:ind w:left="0" w:leftChars="0" w:firstLine="361"/>
      </w:pPr>
      <w:r>
        <w:rPr>
          <w:rFonts w:hint="eastAsia" w:ascii="宋体" w:hAnsi="宋体" w:cs="宋体"/>
          <w:b/>
          <w:bCs/>
          <w:color w:val="000000"/>
          <w:sz w:val="18"/>
          <w:szCs w:val="18"/>
        </w:rPr>
        <w:t>2、报价表内总费用应与询价回执的总价保持一致，大小写不一致以大写为准。</w:t>
      </w:r>
    </w:p>
    <w:p>
      <w:pPr>
        <w:rPr>
          <w:rFonts w:ascii="宋体" w:hAnsi="宋体" w:eastAsia="宋体"/>
          <w:b/>
          <w:color w:val="000000"/>
          <w:sz w:val="36"/>
          <w:szCs w:val="36"/>
        </w:rPr>
      </w:pPr>
      <w:r>
        <w:rPr>
          <w:rFonts w:ascii="宋体" w:hAnsi="宋体" w:eastAsia="宋体"/>
          <w:b/>
          <w:color w:val="000000"/>
          <w:sz w:val="36"/>
          <w:szCs w:val="36"/>
        </w:rPr>
        <w:br w:type="page"/>
      </w:r>
    </w:p>
    <w:p>
      <w:pPr>
        <w:pStyle w:val="8"/>
        <w:spacing w:after="0" w:line="420" w:lineRule="exact"/>
        <w:ind w:firstLine="0" w:firstLineChars="0"/>
        <w:jc w:val="center"/>
        <w:rPr>
          <w:rFonts w:ascii="宋体" w:hAnsi="宋体" w:eastAsia="宋体"/>
          <w:b/>
          <w:color w:val="000000"/>
          <w:sz w:val="36"/>
          <w:szCs w:val="36"/>
        </w:rPr>
      </w:pPr>
      <w:r>
        <w:rPr>
          <w:rFonts w:hint="eastAsia" w:ascii="宋体" w:hAnsi="宋体" w:eastAsia="宋体"/>
          <w:b/>
          <w:color w:val="000000"/>
          <w:sz w:val="36"/>
          <w:szCs w:val="36"/>
        </w:rPr>
        <w:t>6、供应商认为需要提供的其他资料</w:t>
      </w: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color w:val="000000"/>
          <w:sz w:val="36"/>
          <w:szCs w:val="36"/>
        </w:rPr>
      </w:pPr>
    </w:p>
    <w:p>
      <w:pPr>
        <w:pStyle w:val="8"/>
        <w:spacing w:after="0" w:line="420" w:lineRule="exact"/>
        <w:ind w:left="440" w:leftChars="200" w:firstLine="0" w:firstLineChars="0"/>
        <w:jc w:val="center"/>
        <w:rPr>
          <w:rFonts w:ascii="宋体" w:hAnsi="宋体" w:eastAsia="宋体"/>
          <w:b/>
          <w:bCs/>
          <w:color w:val="000000"/>
          <w:sz w:val="18"/>
          <w:szCs w:val="18"/>
        </w:rPr>
      </w:pPr>
      <w:r>
        <w:rPr>
          <w:rFonts w:hint="eastAsia" w:ascii="宋体" w:hAnsi="宋体" w:eastAsia="宋体"/>
          <w:b/>
          <w:color w:val="000000"/>
          <w:sz w:val="36"/>
          <w:szCs w:val="36"/>
        </w:rPr>
        <w:t>（格式自拟）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TdkYjY5NDA3NmFiN2RiY2ZiNDEzYmQ4YWUyY2YifQ=="/>
  </w:docVars>
  <w:rsids>
    <w:rsidRoot w:val="5D2A587A"/>
    <w:rsid w:val="5D2A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ind w:firstLine="420" w:firstLineChars="200"/>
      <w:jc w:val="both"/>
    </w:pPr>
    <w:rPr>
      <w:rFonts w:ascii="Times New Roman" w:hAnsi="Times New Roman" w:eastAsia="宋体" w:cs="Times New Roman"/>
    </w:rPr>
  </w:style>
  <w:style w:type="paragraph" w:styleId="3">
    <w:name w:val="Body Text Indent"/>
    <w:basedOn w:val="1"/>
    <w:next w:val="1"/>
    <w:qFormat/>
    <w:uiPriority w:val="0"/>
    <w:pPr>
      <w:spacing w:after="120"/>
      <w:ind w:left="420" w:leftChars="200"/>
    </w:pPr>
  </w:style>
  <w:style w:type="paragraph" w:styleId="4">
    <w:name w:val="Normal Indent"/>
    <w:basedOn w:val="1"/>
    <w:next w:val="1"/>
    <w:qFormat/>
    <w:uiPriority w:val="0"/>
    <w:pPr>
      <w:ind w:firstLine="420"/>
    </w:pPr>
    <w:rPr>
      <w:sz w:val="20"/>
      <w:szCs w:val="20"/>
    </w:rPr>
  </w:style>
  <w:style w:type="paragraph" w:styleId="7">
    <w:name w:val="No Spacing"/>
    <w:qFormat/>
    <w:uiPriority w:val="1"/>
    <w:pPr>
      <w:adjustRightInd w:val="0"/>
      <w:snapToGrid w:val="0"/>
    </w:pPr>
    <w:rPr>
      <w:rFonts w:ascii="Tahoma" w:hAnsi="Tahoma" w:eastAsia="微软雅黑" w:cs="宋体"/>
      <w:sz w:val="22"/>
      <w:szCs w:val="22"/>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2023-11-07T03:55:00Z</dcterms:created>
  <dc:creator>让风告诉你</dc:creator>
  <cp:lastModifiedBy>让风告诉你</cp:lastModifiedBy>
  <dcterms:modified xsi:type="dcterms:W3CDTF">2023-11-07T03:55:43Z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9CB5293A6D914DC9AF367D8FF06CDF23_11</vt:lpwstr>
  </property>
</Properties>
</file>