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550"/>
        </w:tabs>
        <w:spacing w:before="156" w:beforeLines="50"/>
        <w:jc w:val="center"/>
        <w:rPr>
          <w:rFonts w:hint="eastAsia" w:ascii="Calibri" w:hAnsi="宋体" w:cs="Times New Roman"/>
          <w:b/>
          <w:color w:val="000000"/>
          <w:sz w:val="40"/>
          <w:szCs w:val="40"/>
        </w:rPr>
      </w:pPr>
      <w:r>
        <w:rPr>
          <w:rFonts w:hint="eastAsia" w:ascii="Calibri" w:hAnsi="宋体" w:cs="Times New Roman"/>
          <w:b/>
          <w:color w:val="000000"/>
          <w:sz w:val="40"/>
          <w:szCs w:val="40"/>
          <w:lang w:val="en-US" w:eastAsia="zh-CN"/>
        </w:rPr>
        <w:t>安全生产第三方</w:t>
      </w:r>
      <w:r>
        <w:rPr>
          <w:rFonts w:hint="eastAsia" w:ascii="Calibri" w:hAnsi="宋体" w:cs="Times New Roman"/>
          <w:b/>
          <w:color w:val="000000"/>
          <w:sz w:val="40"/>
          <w:szCs w:val="40"/>
        </w:rPr>
        <w:t>工作考核评分表</w:t>
      </w:r>
    </w:p>
    <w:p>
      <w:pPr>
        <w:snapToGrid w:val="0"/>
        <w:spacing w:line="300" w:lineRule="exact"/>
        <w:ind w:firstLine="6746" w:firstLineChars="3200"/>
        <w:rPr>
          <w:rFonts w:hint="eastAsia" w:ascii="Calibri" w:hAnsi="宋体" w:cs="Times New Roman"/>
          <w:b/>
          <w:sz w:val="21"/>
          <w:szCs w:val="21"/>
        </w:rPr>
      </w:pPr>
    </w:p>
    <w:tbl>
      <w:tblPr>
        <w:tblStyle w:val="6"/>
        <w:tblW w:w="9828" w:type="dxa"/>
        <w:jc w:val="center"/>
        <w:tblInd w:w="0" w:type="dxa"/>
        <w:tblLayout w:type="fixed"/>
        <w:tblCellMar>
          <w:top w:w="0" w:type="dxa"/>
          <w:left w:w="108" w:type="dxa"/>
          <w:bottom w:w="0" w:type="dxa"/>
          <w:right w:w="108" w:type="dxa"/>
        </w:tblCellMar>
      </w:tblPr>
      <w:tblGrid>
        <w:gridCol w:w="9828"/>
      </w:tblGrid>
      <w:tr>
        <w:tblPrEx>
          <w:tblLayout w:type="fixed"/>
          <w:tblCellMar>
            <w:top w:w="0" w:type="dxa"/>
            <w:left w:w="108" w:type="dxa"/>
            <w:bottom w:w="0" w:type="dxa"/>
            <w:right w:w="108" w:type="dxa"/>
          </w:tblCellMar>
        </w:tblPrEx>
        <w:trPr>
          <w:trHeight w:val="406" w:hRule="atLeast"/>
          <w:jc w:val="center"/>
        </w:trPr>
        <w:tc>
          <w:tcPr>
            <w:tcW w:w="9828" w:type="dxa"/>
            <w:tcBorders>
              <w:top w:val="nil"/>
              <w:bottom w:val="nil"/>
            </w:tcBorders>
            <w:vAlign w:val="center"/>
          </w:tcPr>
          <w:p>
            <w:pPr>
              <w:spacing w:line="360" w:lineRule="auto"/>
              <w:ind w:left="210" w:hanging="220" w:hangingChars="100"/>
              <w:rPr>
                <w:rFonts w:ascii="Calibri" w:hAnsi="宋体" w:cs="Times New Roman"/>
                <w:bCs/>
                <w:sz w:val="22"/>
                <w:szCs w:val="22"/>
              </w:rPr>
            </w:pPr>
            <w:r>
              <w:rPr>
                <w:rFonts w:hint="eastAsia" w:ascii="Calibri" w:hAnsi="宋体" w:cs="Times New Roman"/>
                <w:bCs/>
                <w:sz w:val="22"/>
                <w:szCs w:val="22"/>
                <w:lang w:val="en-US" w:eastAsia="zh-CN"/>
              </w:rPr>
              <w:t>考核</w:t>
            </w:r>
            <w:r>
              <w:rPr>
                <w:rFonts w:hint="eastAsia" w:ascii="Calibri" w:hAnsi="宋体" w:cs="Times New Roman"/>
                <w:bCs/>
                <w:sz w:val="22"/>
                <w:szCs w:val="22"/>
              </w:rPr>
              <w:t xml:space="preserve">项目： </w:t>
            </w:r>
            <w:r>
              <w:rPr>
                <w:rFonts w:hint="eastAsia" w:ascii="Calibri" w:hAnsi="宋体" w:cs="Times New Roman"/>
                <w:bCs/>
                <w:sz w:val="22"/>
                <w:szCs w:val="22"/>
                <w:u w:val="single"/>
              </w:rPr>
              <w:t xml:space="preserve">  </w:t>
            </w:r>
            <w:r>
              <w:rPr>
                <w:rFonts w:hint="eastAsia" w:ascii="Calibri" w:hAnsi="宋体" w:cs="Times New Roman"/>
                <w:bCs/>
                <w:sz w:val="22"/>
                <w:szCs w:val="22"/>
                <w:u w:val="single"/>
                <w:lang w:val="en-US" w:eastAsia="zh-CN"/>
              </w:rPr>
              <w:t xml:space="preserve">  安全生产服务  </w:t>
            </w:r>
            <w:r>
              <w:rPr>
                <w:rFonts w:hint="eastAsia" w:ascii="Calibri" w:hAnsi="宋体" w:cs="Times New Roman"/>
                <w:bCs/>
                <w:sz w:val="22"/>
                <w:szCs w:val="22"/>
                <w:u w:val="single"/>
              </w:rPr>
              <w:t xml:space="preserve">  </w:t>
            </w:r>
            <w:r>
              <w:rPr>
                <w:rFonts w:hint="eastAsia" w:ascii="Calibri" w:hAnsi="宋体" w:cs="Times New Roman"/>
                <w:bCs/>
                <w:sz w:val="22"/>
                <w:szCs w:val="22"/>
              </w:rPr>
              <w:t xml:space="preserve">  </w:t>
            </w:r>
            <w:r>
              <w:rPr>
                <w:rFonts w:hint="eastAsia" w:ascii="Calibri" w:hAnsi="宋体" w:cs="Times New Roman"/>
                <w:bCs/>
                <w:sz w:val="22"/>
                <w:szCs w:val="22"/>
                <w:lang w:val="en-US" w:eastAsia="zh-CN"/>
              </w:rPr>
              <w:t xml:space="preserve">  </w:t>
            </w:r>
            <w:r>
              <w:rPr>
                <w:rFonts w:hint="eastAsia" w:ascii="Calibri" w:hAnsi="宋体" w:cs="Times New Roman"/>
                <w:bCs/>
                <w:sz w:val="22"/>
                <w:szCs w:val="22"/>
              </w:rPr>
              <w:t xml:space="preserve">  </w:t>
            </w:r>
            <w:r>
              <w:rPr>
                <w:rFonts w:hint="eastAsia" w:ascii="Calibri" w:hAnsi="宋体" w:cs="Times New Roman"/>
                <w:bCs/>
                <w:sz w:val="22"/>
                <w:szCs w:val="22"/>
                <w:lang w:val="en-US" w:eastAsia="zh-CN"/>
              </w:rPr>
              <w:t xml:space="preserve">  总分</w:t>
            </w:r>
            <w:r>
              <w:rPr>
                <w:rFonts w:hint="eastAsia" w:ascii="Calibri" w:hAnsi="宋体" w:cs="Times New Roman"/>
                <w:bCs/>
                <w:sz w:val="22"/>
                <w:szCs w:val="22"/>
                <w:u w:val="single"/>
                <w:lang w:val="en-US" w:eastAsia="zh-CN"/>
              </w:rPr>
              <w:t xml:space="preserve">100分 </w:t>
            </w:r>
            <w:r>
              <w:rPr>
                <w:rFonts w:hint="eastAsia" w:ascii="Calibri" w:hAnsi="宋体" w:cs="Times New Roman"/>
                <w:bCs/>
                <w:sz w:val="22"/>
                <w:szCs w:val="22"/>
                <w:lang w:val="en-US" w:eastAsia="zh-CN"/>
              </w:rPr>
              <w:t xml:space="preserve">     </w:t>
            </w:r>
            <w:r>
              <w:rPr>
                <w:rFonts w:hint="eastAsia" w:ascii="Calibri" w:hAnsi="宋体" w:cs="Times New Roman"/>
                <w:bCs/>
                <w:sz w:val="22"/>
                <w:szCs w:val="22"/>
              </w:rPr>
              <w:t xml:space="preserve">      </w:t>
            </w:r>
            <w:r>
              <w:rPr>
                <w:rFonts w:hint="eastAsia" w:ascii="Calibri" w:hAnsi="宋体" w:cs="Times New Roman"/>
                <w:bCs/>
                <w:sz w:val="22"/>
                <w:szCs w:val="22"/>
                <w:lang w:val="en-US" w:eastAsia="zh-CN"/>
              </w:rPr>
              <w:t>考核</w:t>
            </w:r>
            <w:r>
              <w:rPr>
                <w:rFonts w:hint="eastAsia" w:ascii="Calibri" w:hAnsi="宋体" w:cs="Times New Roman"/>
                <w:bCs/>
                <w:sz w:val="22"/>
                <w:szCs w:val="22"/>
              </w:rPr>
              <w:t>时间：</w:t>
            </w:r>
            <w:r>
              <w:rPr>
                <w:rFonts w:hint="eastAsia" w:ascii="Calibri" w:hAnsi="宋体" w:cs="Times New Roman"/>
                <w:bCs/>
                <w:sz w:val="22"/>
                <w:szCs w:val="22"/>
                <w:u w:val="single"/>
              </w:rPr>
              <w:t xml:space="preserve"> </w:t>
            </w:r>
            <w:r>
              <w:rPr>
                <w:rFonts w:hint="eastAsia" w:ascii="Calibri" w:hAnsi="宋体" w:cs="Times New Roman"/>
                <w:bCs/>
                <w:sz w:val="22"/>
                <w:szCs w:val="22"/>
                <w:u w:val="single"/>
                <w:lang w:val="en-US" w:eastAsia="zh-CN"/>
              </w:rPr>
              <w:t xml:space="preserve">    </w:t>
            </w:r>
            <w:r>
              <w:rPr>
                <w:rFonts w:hint="eastAsia" w:ascii="Calibri" w:hAnsi="宋体" w:cs="Times New Roman"/>
                <w:bCs/>
                <w:sz w:val="22"/>
                <w:szCs w:val="22"/>
              </w:rPr>
              <w:t>年</w:t>
            </w:r>
            <w:r>
              <w:rPr>
                <w:rFonts w:hint="eastAsia" w:ascii="Calibri" w:hAnsi="宋体" w:cs="Times New Roman"/>
                <w:bCs/>
                <w:sz w:val="22"/>
                <w:szCs w:val="22"/>
                <w:u w:val="single"/>
              </w:rPr>
              <w:t xml:space="preserve"> </w:t>
            </w:r>
            <w:r>
              <w:rPr>
                <w:rFonts w:hint="eastAsia" w:ascii="Calibri" w:hAnsi="宋体" w:cs="Times New Roman"/>
                <w:bCs/>
                <w:sz w:val="22"/>
                <w:szCs w:val="22"/>
                <w:u w:val="single"/>
                <w:lang w:val="en-US" w:eastAsia="zh-CN"/>
              </w:rPr>
              <w:t xml:space="preserve">  </w:t>
            </w:r>
            <w:r>
              <w:rPr>
                <w:rFonts w:hint="eastAsia" w:ascii="Calibri" w:hAnsi="宋体" w:cs="Times New Roman"/>
                <w:bCs/>
                <w:sz w:val="22"/>
                <w:szCs w:val="22"/>
                <w:u w:val="single"/>
              </w:rPr>
              <w:t xml:space="preserve">  </w:t>
            </w:r>
            <w:r>
              <w:rPr>
                <w:rFonts w:hint="eastAsia" w:ascii="Calibri" w:hAnsi="宋体" w:cs="Times New Roman"/>
                <w:bCs/>
                <w:sz w:val="22"/>
                <w:szCs w:val="22"/>
              </w:rPr>
              <w:t xml:space="preserve">月                                 </w:t>
            </w:r>
          </w:p>
        </w:tc>
      </w:tr>
    </w:tbl>
    <w:tbl>
      <w:tblPr>
        <w:tblStyle w:val="7"/>
        <w:tblW w:w="911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542"/>
        <w:gridCol w:w="4496"/>
        <w:gridCol w:w="732"/>
        <w:gridCol w:w="1489"/>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Align w:val="center"/>
          </w:tcPr>
          <w:p>
            <w:pPr>
              <w:jc w:val="center"/>
              <w:rPr>
                <w:rFonts w:ascii="Calibri" w:hAnsi="Calibri" w:cs="Times New Roman"/>
                <w:szCs w:val="24"/>
                <w:vertAlign w:val="baseline"/>
              </w:rPr>
            </w:pPr>
            <w:r>
              <w:rPr>
                <w:rFonts w:hint="eastAsia" w:ascii="Calibri" w:hAnsi="宋体" w:cs="Times New Roman"/>
                <w:bCs/>
                <w:sz w:val="22"/>
                <w:szCs w:val="22"/>
              </w:rPr>
              <w:t>考核内容</w:t>
            </w:r>
          </w:p>
        </w:tc>
        <w:tc>
          <w:tcPr>
            <w:tcW w:w="542" w:type="dxa"/>
            <w:vAlign w:val="center"/>
          </w:tcPr>
          <w:p>
            <w:pPr>
              <w:jc w:val="center"/>
              <w:rPr>
                <w:rFonts w:ascii="Calibri" w:hAnsi="Calibri" w:cs="Times New Roman"/>
                <w:szCs w:val="24"/>
                <w:vertAlign w:val="baseline"/>
              </w:rPr>
            </w:pPr>
            <w:r>
              <w:rPr>
                <w:rFonts w:hint="eastAsia" w:ascii="Calibri" w:hAnsi="宋体" w:cs="Times New Roman"/>
                <w:bCs/>
                <w:sz w:val="22"/>
                <w:szCs w:val="22"/>
                <w:lang w:val="en-US" w:eastAsia="zh-CN"/>
              </w:rPr>
              <w:t>序号</w:t>
            </w:r>
          </w:p>
        </w:tc>
        <w:tc>
          <w:tcPr>
            <w:tcW w:w="4496" w:type="dxa"/>
            <w:vAlign w:val="center"/>
          </w:tcPr>
          <w:p>
            <w:pPr>
              <w:jc w:val="center"/>
              <w:rPr>
                <w:rFonts w:ascii="Calibri" w:hAnsi="Calibri" w:cs="Times New Roman"/>
                <w:szCs w:val="24"/>
                <w:vertAlign w:val="baseline"/>
              </w:rPr>
            </w:pPr>
            <w:r>
              <w:rPr>
                <w:rFonts w:hint="eastAsia" w:ascii="Calibri" w:hAnsi="宋体" w:cs="Times New Roman"/>
                <w:bCs/>
                <w:sz w:val="22"/>
                <w:szCs w:val="22"/>
                <w:lang w:val="en-US" w:eastAsia="zh-CN"/>
              </w:rPr>
              <w:t>考核标准</w:t>
            </w:r>
          </w:p>
        </w:tc>
        <w:tc>
          <w:tcPr>
            <w:tcW w:w="732" w:type="dxa"/>
            <w:vAlign w:val="center"/>
          </w:tcPr>
          <w:p>
            <w:pPr>
              <w:jc w:val="center"/>
              <w:rPr>
                <w:rFonts w:ascii="Calibri" w:hAnsi="Calibri" w:cs="Times New Roman"/>
                <w:szCs w:val="24"/>
                <w:vertAlign w:val="baseline"/>
              </w:rPr>
            </w:pPr>
            <w:r>
              <w:rPr>
                <w:rFonts w:hint="eastAsia" w:ascii="Calibri" w:hAnsi="宋体" w:cs="Times New Roman"/>
                <w:bCs/>
                <w:sz w:val="22"/>
                <w:szCs w:val="22"/>
                <w:lang w:val="en-US" w:eastAsia="zh-CN"/>
              </w:rPr>
              <w:t>分数</w:t>
            </w:r>
          </w:p>
        </w:tc>
        <w:tc>
          <w:tcPr>
            <w:tcW w:w="1489" w:type="dxa"/>
            <w:vAlign w:val="center"/>
          </w:tcPr>
          <w:p>
            <w:pPr>
              <w:jc w:val="center"/>
              <w:rPr>
                <w:rFonts w:ascii="Calibri" w:hAnsi="Calibri" w:cs="Times New Roman"/>
                <w:szCs w:val="24"/>
                <w:vertAlign w:val="baseline"/>
              </w:rPr>
            </w:pPr>
            <w:r>
              <w:rPr>
                <w:rFonts w:hint="eastAsia" w:ascii="Calibri" w:hAnsi="宋体" w:cs="Times New Roman"/>
                <w:bCs/>
                <w:sz w:val="22"/>
                <w:szCs w:val="22"/>
                <w:lang w:val="en-US" w:eastAsia="zh-CN"/>
              </w:rPr>
              <w:t>扣分标准</w:t>
            </w:r>
          </w:p>
        </w:tc>
        <w:tc>
          <w:tcPr>
            <w:tcW w:w="1173" w:type="dxa"/>
            <w:vAlign w:val="center"/>
          </w:tcPr>
          <w:p>
            <w:pPr>
              <w:jc w:val="center"/>
              <w:rPr>
                <w:rFonts w:ascii="Calibri" w:hAnsi="Calibri" w:cs="Times New Roman"/>
                <w:szCs w:val="24"/>
                <w:vertAlign w:val="baseline"/>
              </w:rPr>
            </w:pPr>
            <w:r>
              <w:rPr>
                <w:rFonts w:hint="eastAsia" w:ascii="Calibri" w:hAnsi="宋体" w:cs="Times New Roman"/>
                <w:bCs/>
                <w:sz w:val="22"/>
                <w:szCs w:val="22"/>
                <w:lang w:val="en-US" w:eastAsia="zh-CN"/>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restart"/>
            <w:vAlign w:val="center"/>
          </w:tcPr>
          <w:p>
            <w:pPr>
              <w:spacing w:line="360" w:lineRule="auto"/>
              <w:jc w:val="center"/>
              <w:rPr>
                <w:rFonts w:hint="eastAsia" w:ascii="Calibri" w:hAnsi="宋体" w:eastAsia="宋体" w:cs="Times New Roman"/>
                <w:bCs/>
                <w:sz w:val="22"/>
                <w:szCs w:val="22"/>
                <w:lang w:val="en-US" w:eastAsia="zh-CN"/>
              </w:rPr>
            </w:pPr>
            <w:r>
              <w:rPr>
                <w:rFonts w:hint="eastAsia" w:ascii="Calibri" w:hAnsi="宋体" w:cs="Times New Roman"/>
                <w:bCs/>
                <w:sz w:val="22"/>
                <w:szCs w:val="22"/>
                <w:lang w:val="en-US" w:eastAsia="zh-CN"/>
              </w:rPr>
              <w:t>日常安全服务</w:t>
            </w:r>
          </w:p>
          <w:p>
            <w:pPr>
              <w:jc w:val="center"/>
              <w:rPr>
                <w:rFonts w:ascii="Calibri" w:hAnsi="Calibri" w:cs="Times New Roman"/>
                <w:szCs w:val="24"/>
                <w:vertAlign w:val="baseline"/>
              </w:rPr>
            </w:pPr>
          </w:p>
        </w:tc>
        <w:tc>
          <w:tcPr>
            <w:tcW w:w="542" w:type="dxa"/>
            <w:vAlign w:val="center"/>
          </w:tcPr>
          <w:p>
            <w:pPr>
              <w:jc w:val="center"/>
              <w:rPr>
                <w:rFonts w:hint="eastAsia"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1</w:t>
            </w:r>
          </w:p>
        </w:tc>
        <w:tc>
          <w:tcPr>
            <w:tcW w:w="4496" w:type="dxa"/>
            <w:vAlign w:val="center"/>
          </w:tcPr>
          <w:p>
            <w:pPr>
              <w:jc w:val="left"/>
              <w:rPr>
                <w:rFonts w:ascii="Calibri" w:hAnsi="Calibri" w:cs="Times New Roman"/>
                <w:szCs w:val="24"/>
                <w:vertAlign w:val="baseline"/>
              </w:rPr>
            </w:pPr>
            <w:r>
              <w:rPr>
                <w:rFonts w:hint="eastAsia" w:ascii="Calibri" w:hAnsi="宋体" w:eastAsia="宋体" w:cs="Times New Roman"/>
                <w:bCs/>
                <w:sz w:val="22"/>
                <w:szCs w:val="22"/>
                <w:lang w:val="en-US" w:eastAsia="zh-CN"/>
              </w:rPr>
              <w:t>严格执行</w:t>
            </w:r>
            <w:r>
              <w:rPr>
                <w:rFonts w:hint="eastAsia" w:ascii="Calibri" w:hAnsi="宋体" w:cs="Times New Roman"/>
                <w:bCs/>
                <w:sz w:val="22"/>
                <w:szCs w:val="22"/>
                <w:lang w:val="en-US" w:eastAsia="zh-CN"/>
              </w:rPr>
              <w:t>中心</w:t>
            </w:r>
            <w:r>
              <w:rPr>
                <w:rFonts w:hint="eastAsia" w:ascii="Calibri" w:hAnsi="宋体" w:eastAsia="宋体" w:cs="Times New Roman"/>
                <w:bCs/>
                <w:sz w:val="22"/>
                <w:szCs w:val="22"/>
                <w:lang w:val="en-US" w:eastAsia="zh-CN"/>
              </w:rPr>
              <w:t>各项规章制度</w:t>
            </w:r>
            <w:r>
              <w:rPr>
                <w:rFonts w:hint="eastAsia" w:ascii="Calibri" w:hAnsi="宋体" w:cs="Times New Roman"/>
                <w:bCs/>
                <w:sz w:val="22"/>
                <w:szCs w:val="22"/>
                <w:lang w:val="en-US" w:eastAsia="zh-CN"/>
              </w:rPr>
              <w:t>、</w:t>
            </w:r>
            <w:r>
              <w:rPr>
                <w:rFonts w:hint="eastAsia" w:ascii="Calibri" w:hAnsi="宋体" w:eastAsia="宋体" w:cs="Times New Roman"/>
                <w:bCs/>
                <w:sz w:val="22"/>
                <w:szCs w:val="22"/>
                <w:lang w:val="en-US" w:eastAsia="zh-CN"/>
              </w:rPr>
              <w:t>内部规定和职工行为守则。</w:t>
            </w:r>
          </w:p>
        </w:tc>
        <w:tc>
          <w:tcPr>
            <w:tcW w:w="732" w:type="dxa"/>
            <w:vAlign w:val="center"/>
          </w:tcPr>
          <w:p>
            <w:pPr>
              <w:jc w:val="center"/>
              <w:rPr>
                <w:rFonts w:hint="default"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5分</w:t>
            </w:r>
          </w:p>
        </w:tc>
        <w:tc>
          <w:tcPr>
            <w:tcW w:w="1489" w:type="dxa"/>
            <w:vAlign w:val="center"/>
          </w:tcPr>
          <w:p>
            <w:pPr>
              <w:jc w:val="left"/>
              <w:rPr>
                <w:rFonts w:hint="default" w:ascii="Calibri" w:hAnsi="宋体" w:cs="Times New Roman"/>
                <w:bCs/>
                <w:sz w:val="22"/>
                <w:szCs w:val="22"/>
                <w:lang w:val="en-US" w:eastAsia="zh-CN"/>
              </w:rPr>
            </w:pPr>
            <w:r>
              <w:rPr>
                <w:rFonts w:hint="eastAsia" w:ascii="Calibri" w:hAnsi="宋体" w:cs="Times New Roman"/>
                <w:bCs/>
                <w:sz w:val="22"/>
                <w:szCs w:val="22"/>
                <w:lang w:val="en-US" w:eastAsia="zh-CN"/>
              </w:rPr>
              <w:t>每次扣1分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eastAsia"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2</w:t>
            </w:r>
          </w:p>
        </w:tc>
        <w:tc>
          <w:tcPr>
            <w:tcW w:w="4496" w:type="dxa"/>
            <w:vAlign w:val="center"/>
          </w:tcPr>
          <w:p>
            <w:pPr>
              <w:jc w:val="left"/>
              <w:rPr>
                <w:rFonts w:ascii="Calibri" w:hAnsi="Calibri" w:cs="Times New Roman"/>
                <w:szCs w:val="24"/>
                <w:vertAlign w:val="baseline"/>
              </w:rPr>
            </w:pPr>
            <w:r>
              <w:rPr>
                <w:rFonts w:hint="eastAsia" w:ascii="Calibri" w:hAnsi="宋体" w:eastAsia="宋体" w:cs="Times New Roman"/>
                <w:bCs/>
                <w:sz w:val="22"/>
                <w:szCs w:val="22"/>
                <w:lang w:val="en-US" w:eastAsia="zh-CN"/>
              </w:rPr>
              <w:t>遵纪守法，工作时间</w:t>
            </w:r>
            <w:r>
              <w:rPr>
                <w:rFonts w:hint="eastAsia" w:ascii="Calibri" w:hAnsi="宋体" w:cs="Times New Roman"/>
                <w:bCs/>
                <w:sz w:val="22"/>
                <w:szCs w:val="22"/>
                <w:lang w:val="en-US" w:eastAsia="zh-CN"/>
              </w:rPr>
              <w:t>内</w:t>
            </w:r>
            <w:r>
              <w:rPr>
                <w:rFonts w:hint="eastAsia" w:ascii="Calibri" w:hAnsi="宋体" w:eastAsia="宋体" w:cs="Times New Roman"/>
                <w:bCs/>
                <w:sz w:val="22"/>
                <w:szCs w:val="22"/>
                <w:lang w:val="en-US" w:eastAsia="zh-CN"/>
              </w:rPr>
              <w:t>不喝酒</w:t>
            </w:r>
            <w:r>
              <w:rPr>
                <w:rFonts w:hint="eastAsia" w:ascii="Calibri" w:hAnsi="宋体" w:cs="Times New Roman"/>
                <w:bCs/>
                <w:sz w:val="22"/>
                <w:szCs w:val="22"/>
                <w:lang w:val="en-US" w:eastAsia="zh-CN"/>
              </w:rPr>
              <w:t>、</w:t>
            </w:r>
            <w:r>
              <w:rPr>
                <w:rFonts w:hint="eastAsia" w:ascii="Calibri" w:hAnsi="宋体" w:eastAsia="宋体" w:cs="Times New Roman"/>
                <w:bCs/>
                <w:sz w:val="22"/>
                <w:szCs w:val="22"/>
                <w:lang w:val="en-US" w:eastAsia="zh-CN"/>
              </w:rPr>
              <w:t>不迟到、不早退。</w:t>
            </w:r>
          </w:p>
        </w:tc>
        <w:tc>
          <w:tcPr>
            <w:tcW w:w="732" w:type="dxa"/>
            <w:vAlign w:val="center"/>
          </w:tcPr>
          <w:p>
            <w:pPr>
              <w:jc w:val="center"/>
              <w:rPr>
                <w:rFonts w:hint="default"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5分</w:t>
            </w:r>
          </w:p>
        </w:tc>
        <w:tc>
          <w:tcPr>
            <w:tcW w:w="1489" w:type="dxa"/>
            <w:vAlign w:val="center"/>
          </w:tcPr>
          <w:p>
            <w:pPr>
              <w:jc w:val="left"/>
              <w:rPr>
                <w:rFonts w:hint="eastAsia" w:ascii="Calibri" w:hAnsi="宋体" w:cs="Times New Roman"/>
                <w:bCs/>
                <w:sz w:val="22"/>
                <w:szCs w:val="22"/>
                <w:lang w:val="en-US" w:eastAsia="zh-CN"/>
              </w:rPr>
            </w:pPr>
            <w:r>
              <w:rPr>
                <w:rFonts w:hint="eastAsia" w:ascii="Calibri" w:hAnsi="宋体" w:cs="Times New Roman"/>
                <w:bCs/>
                <w:sz w:val="22"/>
                <w:szCs w:val="22"/>
                <w:lang w:val="en-US" w:eastAsia="zh-CN"/>
              </w:rPr>
              <w:t>每次扣1分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eastAsia"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3</w:t>
            </w:r>
          </w:p>
        </w:tc>
        <w:tc>
          <w:tcPr>
            <w:tcW w:w="4496" w:type="dxa"/>
            <w:vAlign w:val="center"/>
          </w:tcPr>
          <w:p>
            <w:pPr>
              <w:jc w:val="left"/>
              <w:rPr>
                <w:rFonts w:ascii="Calibri" w:hAnsi="Calibri" w:cs="Times New Roman"/>
                <w:szCs w:val="24"/>
                <w:vertAlign w:val="baseline"/>
              </w:rPr>
            </w:pPr>
            <w:r>
              <w:rPr>
                <w:rFonts w:hint="eastAsia" w:ascii="Calibri" w:hAnsi="宋体" w:cs="Times New Roman"/>
                <w:bCs/>
                <w:sz w:val="22"/>
                <w:szCs w:val="22"/>
                <w:lang w:val="en-US" w:eastAsia="zh-CN"/>
              </w:rPr>
              <w:t>按时完成市局上级要求的安全生产事项。</w:t>
            </w:r>
          </w:p>
        </w:tc>
        <w:tc>
          <w:tcPr>
            <w:tcW w:w="732" w:type="dxa"/>
            <w:vAlign w:val="center"/>
          </w:tcPr>
          <w:p>
            <w:pPr>
              <w:jc w:val="center"/>
              <w:rPr>
                <w:rFonts w:hint="eastAsia"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5分</w:t>
            </w:r>
          </w:p>
        </w:tc>
        <w:tc>
          <w:tcPr>
            <w:tcW w:w="1489" w:type="dxa"/>
            <w:vAlign w:val="center"/>
          </w:tcPr>
          <w:p>
            <w:pPr>
              <w:jc w:val="left"/>
              <w:rPr>
                <w:rFonts w:hint="eastAsia" w:ascii="Calibri" w:hAnsi="宋体" w:cs="Times New Roman"/>
                <w:bCs/>
                <w:sz w:val="22"/>
                <w:szCs w:val="22"/>
                <w:lang w:val="en-US" w:eastAsia="zh-CN"/>
              </w:rPr>
            </w:pPr>
            <w:r>
              <w:rPr>
                <w:rFonts w:hint="eastAsia" w:ascii="Calibri" w:hAnsi="宋体" w:cs="Times New Roman"/>
                <w:bCs/>
                <w:sz w:val="22"/>
                <w:szCs w:val="22"/>
                <w:lang w:val="en-US" w:eastAsia="zh-CN"/>
              </w:rPr>
              <w:t>漏缺1项扣1分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eastAsia"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4</w:t>
            </w:r>
          </w:p>
        </w:tc>
        <w:tc>
          <w:tcPr>
            <w:tcW w:w="4496" w:type="dxa"/>
            <w:vAlign w:val="center"/>
          </w:tcPr>
          <w:p>
            <w:pPr>
              <w:jc w:val="left"/>
              <w:rPr>
                <w:rFonts w:ascii="Calibri" w:hAnsi="Calibri" w:cs="Times New Roman"/>
                <w:szCs w:val="24"/>
                <w:vertAlign w:val="baseline"/>
              </w:rPr>
            </w:pPr>
            <w:r>
              <w:rPr>
                <w:rFonts w:hint="eastAsia" w:ascii="Calibri" w:hAnsi="宋体" w:cs="Times New Roman"/>
                <w:bCs/>
                <w:sz w:val="22"/>
                <w:szCs w:val="22"/>
                <w:lang w:val="en-US" w:eastAsia="zh-CN"/>
              </w:rPr>
              <w:t>工作日每天巡查馆区，每周1次的全中心巡查，发现安全隐患和违章操作等及时处理并制止纠正，提出合理的隐患整改措施和建议</w:t>
            </w:r>
          </w:p>
        </w:tc>
        <w:tc>
          <w:tcPr>
            <w:tcW w:w="732" w:type="dxa"/>
            <w:vAlign w:val="center"/>
          </w:tcPr>
          <w:p>
            <w:pPr>
              <w:jc w:val="center"/>
              <w:rPr>
                <w:rFonts w:hint="default"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5分</w:t>
            </w:r>
          </w:p>
        </w:tc>
        <w:tc>
          <w:tcPr>
            <w:tcW w:w="1489" w:type="dxa"/>
            <w:vAlign w:val="center"/>
          </w:tcPr>
          <w:p>
            <w:pPr>
              <w:jc w:val="left"/>
              <w:rPr>
                <w:rFonts w:hint="default" w:ascii="Calibri" w:hAnsi="宋体" w:cs="Times New Roman"/>
                <w:bCs/>
                <w:sz w:val="22"/>
                <w:szCs w:val="22"/>
                <w:lang w:val="en-US" w:eastAsia="zh-CN"/>
              </w:rPr>
            </w:pPr>
            <w:r>
              <w:rPr>
                <w:rFonts w:hint="eastAsia" w:ascii="Calibri" w:hAnsi="宋体" w:cs="Times New Roman"/>
                <w:bCs/>
                <w:sz w:val="22"/>
                <w:szCs w:val="22"/>
                <w:lang w:val="en-US" w:eastAsia="zh-CN"/>
              </w:rPr>
              <w:t>少1次扣1分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eastAsia"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5</w:t>
            </w:r>
          </w:p>
        </w:tc>
        <w:tc>
          <w:tcPr>
            <w:tcW w:w="4496" w:type="dxa"/>
            <w:vAlign w:val="center"/>
          </w:tcPr>
          <w:p>
            <w:pPr>
              <w:jc w:val="left"/>
              <w:rPr>
                <w:rFonts w:ascii="宋体" w:hAnsi="Times New Roman" w:eastAsia="宋体" w:cs="Times New Roman"/>
                <w:sz w:val="24"/>
                <w:szCs w:val="24"/>
                <w:vertAlign w:val="baseline"/>
                <w:lang w:val="en-US" w:eastAsia="zh-CN" w:bidi="ar-SA"/>
              </w:rPr>
            </w:pPr>
            <w:r>
              <w:rPr>
                <w:rFonts w:hint="eastAsia" w:ascii="Calibri" w:hAnsi="宋体" w:cs="Times New Roman"/>
                <w:bCs/>
                <w:sz w:val="22"/>
                <w:szCs w:val="22"/>
                <w:lang w:val="en-US" w:eastAsia="zh-CN"/>
              </w:rPr>
              <w:t>每月参加中心安全生产例会，汇报本月的安全生产情况。</w:t>
            </w:r>
          </w:p>
        </w:tc>
        <w:tc>
          <w:tcPr>
            <w:tcW w:w="732" w:type="dxa"/>
            <w:vAlign w:val="center"/>
          </w:tcPr>
          <w:p>
            <w:pPr>
              <w:jc w:val="center"/>
              <w:rPr>
                <w:rFonts w:hint="default"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5分</w:t>
            </w:r>
          </w:p>
        </w:tc>
        <w:tc>
          <w:tcPr>
            <w:tcW w:w="1489" w:type="dxa"/>
            <w:vAlign w:val="center"/>
          </w:tcPr>
          <w:p>
            <w:pPr>
              <w:jc w:val="left"/>
              <w:rPr>
                <w:rFonts w:hint="eastAsia" w:ascii="Calibri" w:hAnsi="宋体" w:cs="Times New Roman"/>
                <w:bCs/>
                <w:sz w:val="22"/>
                <w:szCs w:val="22"/>
                <w:lang w:val="en-US" w:eastAsia="zh-CN"/>
              </w:rPr>
            </w:pPr>
            <w:r>
              <w:rPr>
                <w:rFonts w:hint="eastAsia" w:ascii="Calibri" w:hAnsi="宋体" w:cs="Times New Roman"/>
                <w:bCs/>
                <w:sz w:val="22"/>
                <w:szCs w:val="22"/>
                <w:lang w:val="en-US" w:eastAsia="zh-CN"/>
              </w:rPr>
              <w:t>每次扣1分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eastAsia"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6</w:t>
            </w:r>
          </w:p>
        </w:tc>
        <w:tc>
          <w:tcPr>
            <w:tcW w:w="4496" w:type="dxa"/>
            <w:vAlign w:val="center"/>
          </w:tcPr>
          <w:p>
            <w:pPr>
              <w:jc w:val="left"/>
              <w:rPr>
                <w:rFonts w:hint="default" w:ascii="宋体" w:hAnsi="宋体" w:eastAsia="宋体" w:cs="Times New Roman"/>
                <w:bCs/>
                <w:sz w:val="22"/>
                <w:szCs w:val="22"/>
                <w:lang w:val="en-US" w:eastAsia="zh-CN" w:bidi="ar-SA"/>
              </w:rPr>
            </w:pPr>
            <w:r>
              <w:rPr>
                <w:rFonts w:hint="eastAsia" w:ascii="Calibri" w:hAnsi="宋体" w:cs="Times New Roman"/>
                <w:bCs/>
                <w:sz w:val="22"/>
                <w:szCs w:val="22"/>
                <w:lang w:val="en-US" w:eastAsia="zh-CN"/>
              </w:rPr>
              <w:t>对接市局综合治理安全生产管理，及时处理相关工作。</w:t>
            </w:r>
          </w:p>
        </w:tc>
        <w:tc>
          <w:tcPr>
            <w:tcW w:w="732" w:type="dxa"/>
            <w:vAlign w:val="center"/>
          </w:tcPr>
          <w:p>
            <w:pPr>
              <w:jc w:val="center"/>
              <w:rPr>
                <w:rFonts w:hint="eastAsia"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5分</w:t>
            </w:r>
          </w:p>
        </w:tc>
        <w:tc>
          <w:tcPr>
            <w:tcW w:w="1489" w:type="dxa"/>
            <w:vAlign w:val="center"/>
          </w:tcPr>
          <w:p>
            <w:pPr>
              <w:jc w:val="left"/>
              <w:rPr>
                <w:rFonts w:hint="eastAsia" w:ascii="Calibri" w:hAnsi="宋体" w:cs="Times New Roman"/>
                <w:bCs/>
                <w:sz w:val="22"/>
                <w:szCs w:val="22"/>
                <w:lang w:val="en-US" w:eastAsia="zh-CN"/>
              </w:rPr>
            </w:pPr>
            <w:r>
              <w:rPr>
                <w:rFonts w:hint="eastAsia" w:ascii="Calibri" w:hAnsi="宋体" w:cs="Times New Roman"/>
                <w:bCs/>
                <w:sz w:val="22"/>
                <w:szCs w:val="22"/>
                <w:lang w:val="en-US" w:eastAsia="zh-CN"/>
              </w:rPr>
              <w:t>漏缺1项扣1分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default" w:ascii="Calibri" w:hAnsi="Calibri" w:cs="Times New Roman"/>
                <w:szCs w:val="24"/>
                <w:vertAlign w:val="baseline"/>
                <w:lang w:val="en-US" w:eastAsia="zh-CN"/>
              </w:rPr>
            </w:pPr>
            <w:r>
              <w:rPr>
                <w:rFonts w:hint="eastAsia" w:ascii="Calibri" w:hAnsi="Calibri" w:cs="Times New Roman"/>
                <w:szCs w:val="24"/>
                <w:vertAlign w:val="baseline"/>
                <w:lang w:val="en-US" w:eastAsia="zh-CN"/>
              </w:rPr>
              <w:t>7</w:t>
            </w:r>
          </w:p>
        </w:tc>
        <w:tc>
          <w:tcPr>
            <w:tcW w:w="4496" w:type="dxa"/>
            <w:vAlign w:val="center"/>
          </w:tcPr>
          <w:p>
            <w:pPr>
              <w:jc w:val="left"/>
              <w:rPr>
                <w:rFonts w:hint="eastAsia" w:ascii="宋体" w:hAnsi="Times New Roman" w:eastAsia="宋体" w:cs="Times New Roman"/>
                <w:sz w:val="24"/>
                <w:szCs w:val="24"/>
                <w:vertAlign w:val="baseline"/>
                <w:lang w:val="en-US" w:eastAsia="zh-CN" w:bidi="ar-SA"/>
              </w:rPr>
            </w:pPr>
            <w:r>
              <w:rPr>
                <w:rFonts w:hint="eastAsia" w:ascii="Calibri" w:hAnsi="宋体" w:eastAsia="宋体" w:cs="Times New Roman"/>
                <w:bCs/>
                <w:sz w:val="22"/>
                <w:szCs w:val="22"/>
                <w:lang w:val="en-US" w:eastAsia="zh-CN"/>
              </w:rPr>
              <w:t>保守安全生产服务工作中所涉及的秘密、个人隐私，应当履行</w:t>
            </w:r>
            <w:r>
              <w:rPr>
                <w:rFonts w:hint="eastAsia" w:ascii="Calibri" w:hAnsi="宋体" w:cs="Times New Roman"/>
                <w:bCs/>
                <w:sz w:val="22"/>
                <w:szCs w:val="22"/>
                <w:lang w:val="en-US" w:eastAsia="zh-CN"/>
              </w:rPr>
              <w:t>保守安全的</w:t>
            </w:r>
            <w:r>
              <w:rPr>
                <w:rFonts w:hint="eastAsia" w:ascii="Calibri" w:hAnsi="宋体" w:eastAsia="宋体" w:cs="Times New Roman"/>
                <w:bCs/>
                <w:sz w:val="22"/>
                <w:szCs w:val="22"/>
                <w:lang w:val="en-US" w:eastAsia="zh-CN"/>
              </w:rPr>
              <w:t>义务，</w:t>
            </w:r>
            <w:r>
              <w:rPr>
                <w:rFonts w:hint="eastAsia" w:ascii="Calibri" w:hAnsi="宋体" w:cs="Times New Roman"/>
                <w:bCs/>
                <w:sz w:val="22"/>
                <w:szCs w:val="22"/>
                <w:lang w:val="en-US" w:eastAsia="zh-CN"/>
              </w:rPr>
              <w:t>遵纪守法</w:t>
            </w:r>
          </w:p>
        </w:tc>
        <w:tc>
          <w:tcPr>
            <w:tcW w:w="732" w:type="dxa"/>
            <w:vAlign w:val="center"/>
          </w:tcPr>
          <w:p>
            <w:pPr>
              <w:jc w:val="center"/>
              <w:rPr>
                <w:rFonts w:hint="default" w:ascii="宋体" w:hAnsi="Times New Roman" w:eastAsia="宋体" w:cs="Times New Roman"/>
                <w:sz w:val="24"/>
                <w:szCs w:val="24"/>
                <w:vertAlign w:val="baseline"/>
                <w:lang w:val="en-US" w:eastAsia="zh-CN" w:bidi="ar-SA"/>
              </w:rPr>
            </w:pPr>
            <w:r>
              <w:rPr>
                <w:rFonts w:hint="eastAsia" w:ascii="Calibri" w:hAnsi="Calibri" w:cs="Times New Roman"/>
                <w:sz w:val="24"/>
                <w:szCs w:val="24"/>
                <w:vertAlign w:val="baseline"/>
                <w:lang w:val="en-US" w:eastAsia="zh-CN" w:bidi="ar-SA"/>
              </w:rPr>
              <w:t>5分</w:t>
            </w:r>
          </w:p>
        </w:tc>
        <w:tc>
          <w:tcPr>
            <w:tcW w:w="1489" w:type="dxa"/>
            <w:vAlign w:val="center"/>
          </w:tcPr>
          <w:p>
            <w:pPr>
              <w:jc w:val="left"/>
              <w:rPr>
                <w:rFonts w:hint="eastAsia" w:ascii="Calibri" w:hAnsi="宋体" w:cs="Times New Roman"/>
                <w:bCs/>
                <w:sz w:val="22"/>
                <w:szCs w:val="22"/>
                <w:lang w:val="en-US" w:eastAsia="zh-CN"/>
              </w:rPr>
            </w:pPr>
            <w:r>
              <w:rPr>
                <w:rFonts w:hint="eastAsia" w:ascii="Calibri" w:hAnsi="宋体" w:cs="Times New Roman"/>
                <w:bCs/>
                <w:sz w:val="22"/>
                <w:szCs w:val="22"/>
                <w:lang w:val="en-US" w:eastAsia="zh-CN"/>
              </w:rPr>
              <w:t>违规即不合格</w:t>
            </w:r>
          </w:p>
          <w:p>
            <w:pPr>
              <w:jc w:val="left"/>
              <w:rPr>
                <w:rFonts w:hint="eastAsia" w:ascii="Calibri" w:hAnsi="宋体" w:cs="Times New Roman"/>
                <w:bCs/>
                <w:sz w:val="22"/>
                <w:szCs w:val="22"/>
                <w:lang w:val="en-US" w:eastAsia="zh-CN"/>
              </w:rPr>
            </w:pP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eastAsia"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8</w:t>
            </w:r>
          </w:p>
        </w:tc>
        <w:tc>
          <w:tcPr>
            <w:tcW w:w="4496" w:type="dxa"/>
            <w:vAlign w:val="center"/>
          </w:tcPr>
          <w:p>
            <w:pPr>
              <w:jc w:val="left"/>
              <w:rPr>
                <w:rFonts w:hint="eastAsia" w:ascii="Calibri" w:hAnsi="Calibri" w:eastAsia="宋体" w:cs="Times New Roman"/>
                <w:szCs w:val="24"/>
                <w:vertAlign w:val="baseline"/>
                <w:lang w:eastAsia="zh-CN"/>
              </w:rPr>
            </w:pPr>
            <w:r>
              <w:rPr>
                <w:rFonts w:hint="eastAsia" w:ascii="Calibri" w:hAnsi="宋体" w:eastAsia="宋体" w:cs="Times New Roman"/>
                <w:bCs/>
                <w:sz w:val="22"/>
                <w:szCs w:val="22"/>
                <w:lang w:val="en-US" w:eastAsia="zh-CN"/>
              </w:rPr>
              <w:t>完成</w:t>
            </w:r>
            <w:r>
              <w:rPr>
                <w:rFonts w:hint="eastAsia" w:ascii="Calibri" w:hAnsi="宋体" w:cs="Times New Roman"/>
                <w:bCs/>
                <w:sz w:val="22"/>
                <w:szCs w:val="22"/>
                <w:lang w:val="en-US" w:eastAsia="zh-CN"/>
              </w:rPr>
              <w:t>安保部交代的</w:t>
            </w:r>
            <w:r>
              <w:rPr>
                <w:rFonts w:hint="eastAsia" w:ascii="Calibri" w:hAnsi="宋体" w:eastAsia="宋体" w:cs="Times New Roman"/>
                <w:bCs/>
                <w:sz w:val="22"/>
                <w:szCs w:val="22"/>
                <w:lang w:val="en-US" w:eastAsia="zh-CN"/>
              </w:rPr>
              <w:t>日常安全生产工作</w:t>
            </w:r>
            <w:r>
              <w:rPr>
                <w:rFonts w:hint="eastAsia" w:ascii="Calibri" w:hAnsi="Calibri" w:cs="Times New Roman"/>
                <w:szCs w:val="24"/>
                <w:vertAlign w:val="baseline"/>
                <w:lang w:eastAsia="zh-CN"/>
              </w:rPr>
              <w:t>。</w:t>
            </w:r>
          </w:p>
        </w:tc>
        <w:tc>
          <w:tcPr>
            <w:tcW w:w="732" w:type="dxa"/>
            <w:vAlign w:val="center"/>
          </w:tcPr>
          <w:p>
            <w:pPr>
              <w:jc w:val="center"/>
              <w:rPr>
                <w:rFonts w:hint="default"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5分</w:t>
            </w:r>
          </w:p>
        </w:tc>
        <w:tc>
          <w:tcPr>
            <w:tcW w:w="1489" w:type="dxa"/>
            <w:vAlign w:val="center"/>
          </w:tcPr>
          <w:p>
            <w:pPr>
              <w:jc w:val="left"/>
              <w:rPr>
                <w:rFonts w:hint="eastAsia" w:ascii="Calibri" w:hAnsi="宋体" w:cs="Times New Roman"/>
                <w:bCs/>
                <w:sz w:val="22"/>
                <w:szCs w:val="22"/>
                <w:lang w:val="en-US" w:eastAsia="zh-CN"/>
              </w:rPr>
            </w:pPr>
            <w:r>
              <w:rPr>
                <w:rFonts w:hint="eastAsia" w:ascii="Calibri" w:hAnsi="宋体" w:cs="Times New Roman"/>
                <w:bCs/>
                <w:sz w:val="22"/>
                <w:szCs w:val="22"/>
                <w:lang w:val="en-US" w:eastAsia="zh-CN"/>
              </w:rPr>
              <w:t>每项扣1分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restart"/>
            <w:vAlign w:val="center"/>
          </w:tcPr>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r>
              <w:rPr>
                <w:rFonts w:hint="eastAsia" w:ascii="Calibri" w:hAnsi="Calibri" w:cs="Times New Roman"/>
                <w:szCs w:val="24"/>
                <w:vertAlign w:val="baseline"/>
                <w:lang w:val="en-US" w:eastAsia="zh-CN"/>
              </w:rPr>
              <w:t>安全服务</w:t>
            </w: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cs="Times New Roman"/>
                <w:szCs w:val="24"/>
                <w:vertAlign w:val="baseline"/>
                <w:lang w:val="en-US" w:eastAsia="zh-CN"/>
              </w:rPr>
            </w:pPr>
          </w:p>
          <w:p>
            <w:pPr>
              <w:jc w:val="center"/>
              <w:rPr>
                <w:rFonts w:hint="eastAsia"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安全服务</w:t>
            </w:r>
          </w:p>
        </w:tc>
        <w:tc>
          <w:tcPr>
            <w:tcW w:w="542" w:type="dxa"/>
            <w:vAlign w:val="center"/>
          </w:tcPr>
          <w:p>
            <w:pPr>
              <w:jc w:val="center"/>
              <w:rPr>
                <w:rFonts w:hint="default"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9</w:t>
            </w:r>
          </w:p>
        </w:tc>
        <w:tc>
          <w:tcPr>
            <w:tcW w:w="4496" w:type="dxa"/>
            <w:vAlign w:val="center"/>
          </w:tcPr>
          <w:p>
            <w:pPr>
              <w:jc w:val="left"/>
              <w:rPr>
                <w:rFonts w:hint="default" w:ascii="宋体" w:hAnsi="Times New Roman" w:eastAsia="宋体" w:cs="Times New Roman"/>
                <w:sz w:val="24"/>
                <w:szCs w:val="24"/>
                <w:vertAlign w:val="baseline"/>
                <w:lang w:val="en-US" w:eastAsia="zh-CN" w:bidi="ar-SA"/>
              </w:rPr>
            </w:pPr>
            <w:r>
              <w:rPr>
                <w:rFonts w:hint="eastAsia" w:ascii="Calibri" w:hAnsi="宋体" w:cs="Times New Roman"/>
                <w:bCs/>
                <w:sz w:val="22"/>
                <w:szCs w:val="22"/>
                <w:lang w:val="en-US" w:eastAsia="zh-CN"/>
              </w:rPr>
              <w:t>按照年度安全生产计划，结合同规定，按时完成局、中心安全生产年度计划，完成月度计划。</w:t>
            </w:r>
          </w:p>
        </w:tc>
        <w:tc>
          <w:tcPr>
            <w:tcW w:w="732" w:type="dxa"/>
            <w:vAlign w:val="center"/>
          </w:tcPr>
          <w:p>
            <w:pPr>
              <w:jc w:val="center"/>
              <w:rPr>
                <w:rFonts w:hint="eastAsia"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10分</w:t>
            </w:r>
          </w:p>
        </w:tc>
        <w:tc>
          <w:tcPr>
            <w:tcW w:w="1489" w:type="dxa"/>
            <w:vAlign w:val="center"/>
          </w:tcPr>
          <w:p>
            <w:pPr>
              <w:jc w:val="left"/>
              <w:rPr>
                <w:rFonts w:hint="eastAsia" w:ascii="Calibri" w:hAnsi="宋体" w:cs="Times New Roman"/>
                <w:bCs/>
                <w:sz w:val="22"/>
                <w:szCs w:val="22"/>
                <w:lang w:val="en-US" w:eastAsia="zh-CN"/>
              </w:rPr>
            </w:pPr>
            <w:r>
              <w:rPr>
                <w:rFonts w:hint="eastAsia" w:ascii="Calibri" w:hAnsi="宋体" w:cs="Times New Roman"/>
                <w:bCs/>
                <w:sz w:val="22"/>
                <w:szCs w:val="22"/>
                <w:lang w:val="en-US" w:eastAsia="zh-CN"/>
              </w:rPr>
              <w:t>月度计划未完成1项扣2分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684" w:type="dxa"/>
            <w:vMerge w:val="continue"/>
            <w:vAlign w:val="center"/>
          </w:tcPr>
          <w:p>
            <w:pPr>
              <w:jc w:val="center"/>
              <w:rPr>
                <w:rFonts w:hint="eastAsia" w:ascii="Calibri" w:hAnsi="Calibri" w:cs="Times New Roman"/>
                <w:szCs w:val="24"/>
                <w:vertAlign w:val="baseline"/>
                <w:lang w:val="en-US" w:eastAsia="zh-CN"/>
              </w:rPr>
            </w:pPr>
          </w:p>
        </w:tc>
        <w:tc>
          <w:tcPr>
            <w:tcW w:w="542" w:type="dxa"/>
            <w:vAlign w:val="center"/>
          </w:tcPr>
          <w:p>
            <w:pPr>
              <w:jc w:val="center"/>
              <w:rPr>
                <w:rFonts w:hint="eastAsia"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10</w:t>
            </w:r>
          </w:p>
        </w:tc>
        <w:tc>
          <w:tcPr>
            <w:tcW w:w="4496" w:type="dxa"/>
            <w:vAlign w:val="center"/>
          </w:tcPr>
          <w:p>
            <w:pPr>
              <w:jc w:val="left"/>
              <w:rPr>
                <w:rFonts w:hint="eastAsia" w:ascii="Calibri" w:hAnsi="宋体" w:cs="Times New Roman"/>
                <w:bCs/>
                <w:sz w:val="22"/>
                <w:szCs w:val="22"/>
                <w:lang w:val="en-US" w:eastAsia="zh-CN"/>
              </w:rPr>
            </w:pPr>
            <w:r>
              <w:rPr>
                <w:rFonts w:hint="eastAsia" w:ascii="Calibri" w:hAnsi="宋体" w:cs="Times New Roman"/>
                <w:bCs/>
                <w:sz w:val="22"/>
                <w:szCs w:val="22"/>
                <w:lang w:val="en-US" w:eastAsia="zh-CN"/>
              </w:rPr>
              <w:t>根据市局及上级开展的安全生产方面活动，结合中心实际制定相关计划，并逐步推进落实。</w:t>
            </w:r>
          </w:p>
        </w:tc>
        <w:tc>
          <w:tcPr>
            <w:tcW w:w="732" w:type="dxa"/>
            <w:vAlign w:val="center"/>
          </w:tcPr>
          <w:p>
            <w:pPr>
              <w:jc w:val="center"/>
              <w:rPr>
                <w:rFonts w:hint="default" w:ascii="Calibri" w:hAnsi="Calibri" w:cs="Times New Roman"/>
                <w:szCs w:val="24"/>
                <w:vertAlign w:val="baseline"/>
                <w:lang w:val="en-US" w:eastAsia="zh-CN"/>
              </w:rPr>
            </w:pPr>
            <w:r>
              <w:rPr>
                <w:rFonts w:hint="eastAsia" w:ascii="Calibri" w:hAnsi="Calibri" w:cs="Times New Roman"/>
                <w:szCs w:val="24"/>
                <w:vertAlign w:val="baseline"/>
                <w:lang w:val="en-US" w:eastAsia="zh-CN"/>
              </w:rPr>
              <w:t>5分</w:t>
            </w:r>
          </w:p>
        </w:tc>
        <w:tc>
          <w:tcPr>
            <w:tcW w:w="1489" w:type="dxa"/>
            <w:vAlign w:val="center"/>
          </w:tcPr>
          <w:p>
            <w:pPr>
              <w:jc w:val="left"/>
              <w:rPr>
                <w:rFonts w:hint="default" w:ascii="Calibri" w:hAnsi="宋体" w:cs="Times New Roman"/>
                <w:bCs/>
                <w:sz w:val="22"/>
                <w:szCs w:val="22"/>
                <w:lang w:val="en-US" w:eastAsia="zh-CN"/>
              </w:rPr>
            </w:pPr>
            <w:r>
              <w:rPr>
                <w:rFonts w:hint="eastAsia" w:ascii="Calibri" w:hAnsi="宋体" w:cs="Times New Roman"/>
                <w:bCs/>
                <w:sz w:val="22"/>
                <w:szCs w:val="22"/>
                <w:lang w:val="en-US" w:eastAsia="zh-CN"/>
              </w:rPr>
              <w:t>未完成每项扣1分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default"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11</w:t>
            </w:r>
          </w:p>
        </w:tc>
        <w:tc>
          <w:tcPr>
            <w:tcW w:w="4496" w:type="dxa"/>
            <w:vAlign w:val="center"/>
          </w:tcPr>
          <w:p>
            <w:pPr>
              <w:jc w:val="left"/>
              <w:rPr>
                <w:rFonts w:ascii="Calibri" w:hAnsi="Calibri" w:cs="Times New Roman"/>
                <w:szCs w:val="24"/>
                <w:vertAlign w:val="baseline"/>
              </w:rPr>
            </w:pPr>
            <w:r>
              <w:rPr>
                <w:rFonts w:hint="eastAsia" w:ascii="Calibri" w:hAnsi="宋体" w:cs="Times New Roman"/>
                <w:bCs/>
                <w:sz w:val="22"/>
                <w:szCs w:val="22"/>
                <w:lang w:val="en-US" w:eastAsia="zh-CN"/>
              </w:rPr>
              <w:t>及时响应中心安全生产需求，对中心的安全生产疑难问题，提供技术咨询服务和可行性解决方案。</w:t>
            </w:r>
          </w:p>
        </w:tc>
        <w:tc>
          <w:tcPr>
            <w:tcW w:w="732" w:type="dxa"/>
            <w:vAlign w:val="center"/>
          </w:tcPr>
          <w:p>
            <w:pPr>
              <w:jc w:val="center"/>
              <w:rPr>
                <w:rFonts w:hint="default"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5分</w:t>
            </w:r>
          </w:p>
        </w:tc>
        <w:tc>
          <w:tcPr>
            <w:tcW w:w="1489" w:type="dxa"/>
            <w:vAlign w:val="center"/>
          </w:tcPr>
          <w:p>
            <w:pPr>
              <w:jc w:val="left"/>
              <w:rPr>
                <w:rFonts w:hint="default" w:ascii="Calibri" w:hAnsi="宋体" w:cs="Times New Roman"/>
                <w:bCs/>
                <w:sz w:val="22"/>
                <w:szCs w:val="22"/>
                <w:lang w:val="en-US" w:eastAsia="zh-CN"/>
              </w:rPr>
            </w:pPr>
            <w:r>
              <w:rPr>
                <w:rFonts w:hint="eastAsia" w:ascii="Calibri" w:hAnsi="宋体" w:cs="Times New Roman"/>
                <w:bCs/>
                <w:sz w:val="22"/>
                <w:szCs w:val="22"/>
                <w:lang w:val="en-US" w:eastAsia="zh-CN"/>
              </w:rPr>
              <w:t>未完成每项扣1分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default"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12</w:t>
            </w:r>
          </w:p>
        </w:tc>
        <w:tc>
          <w:tcPr>
            <w:tcW w:w="4496" w:type="dxa"/>
            <w:vAlign w:val="center"/>
          </w:tcPr>
          <w:p>
            <w:pPr>
              <w:jc w:val="left"/>
              <w:rPr>
                <w:rFonts w:hint="default" w:ascii="宋体" w:hAnsi="宋体" w:eastAsia="宋体" w:cs="Times New Roman"/>
                <w:bCs/>
                <w:sz w:val="22"/>
                <w:szCs w:val="22"/>
                <w:lang w:val="en-US" w:eastAsia="zh-CN" w:bidi="ar-SA"/>
              </w:rPr>
            </w:pPr>
            <w:r>
              <w:rPr>
                <w:rFonts w:hint="eastAsia" w:ascii="Calibri" w:hAnsi="宋体" w:eastAsia="宋体" w:cs="Times New Roman"/>
                <w:bCs/>
                <w:sz w:val="22"/>
                <w:szCs w:val="22"/>
                <w:lang w:val="en-US" w:eastAsia="zh-CN"/>
              </w:rPr>
              <w:t>定期开展安全生产培训及演练</w:t>
            </w:r>
            <w:r>
              <w:rPr>
                <w:rFonts w:hint="eastAsia" w:ascii="Calibri" w:hAnsi="宋体" w:cs="Times New Roman"/>
                <w:bCs/>
                <w:sz w:val="22"/>
                <w:szCs w:val="22"/>
                <w:lang w:val="en-US" w:eastAsia="zh-CN"/>
              </w:rPr>
              <w:t>，全年16次各类安全培训。</w:t>
            </w:r>
          </w:p>
        </w:tc>
        <w:tc>
          <w:tcPr>
            <w:tcW w:w="732" w:type="dxa"/>
            <w:vAlign w:val="center"/>
          </w:tcPr>
          <w:p>
            <w:pPr>
              <w:jc w:val="center"/>
              <w:rPr>
                <w:rFonts w:hint="default"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5分</w:t>
            </w:r>
          </w:p>
        </w:tc>
        <w:tc>
          <w:tcPr>
            <w:tcW w:w="1489" w:type="dxa"/>
            <w:vAlign w:val="center"/>
          </w:tcPr>
          <w:p>
            <w:pPr>
              <w:jc w:val="left"/>
              <w:rPr>
                <w:rFonts w:hint="default" w:ascii="Calibri" w:hAnsi="宋体" w:cs="Times New Roman"/>
                <w:bCs/>
                <w:sz w:val="22"/>
                <w:szCs w:val="22"/>
                <w:lang w:val="en-US" w:eastAsia="zh-CN"/>
              </w:rPr>
            </w:pPr>
            <w:r>
              <w:rPr>
                <w:rFonts w:hint="eastAsia" w:ascii="Calibri" w:hAnsi="宋体" w:cs="Times New Roman"/>
                <w:bCs/>
                <w:sz w:val="22"/>
                <w:szCs w:val="22"/>
                <w:lang w:val="en-US" w:eastAsia="zh-CN"/>
              </w:rPr>
              <w:t>未开展每次扣 5分。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default"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13</w:t>
            </w:r>
          </w:p>
        </w:tc>
        <w:tc>
          <w:tcPr>
            <w:tcW w:w="4496" w:type="dxa"/>
            <w:vAlign w:val="center"/>
          </w:tcPr>
          <w:p>
            <w:pPr>
              <w:jc w:val="left"/>
              <w:rPr>
                <w:rFonts w:hint="eastAsia" w:ascii="宋体" w:hAnsi="宋体" w:eastAsia="宋体" w:cs="Times New Roman"/>
                <w:bCs/>
                <w:sz w:val="22"/>
                <w:szCs w:val="22"/>
                <w:lang w:val="en-US" w:eastAsia="zh-CN" w:bidi="ar-SA"/>
              </w:rPr>
            </w:pPr>
            <w:r>
              <w:rPr>
                <w:rFonts w:hint="eastAsia" w:ascii="Calibri" w:hAnsi="宋体" w:cs="Times New Roman"/>
                <w:bCs/>
                <w:sz w:val="22"/>
                <w:szCs w:val="22"/>
                <w:lang w:val="en-US" w:eastAsia="zh-CN"/>
              </w:rPr>
              <w:t>每月对中心进行安全检查，检查中心安全防护措施是否落实到位。</w:t>
            </w:r>
          </w:p>
        </w:tc>
        <w:tc>
          <w:tcPr>
            <w:tcW w:w="732" w:type="dxa"/>
            <w:vAlign w:val="center"/>
          </w:tcPr>
          <w:p>
            <w:pPr>
              <w:jc w:val="center"/>
              <w:rPr>
                <w:rFonts w:hint="default"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5分</w:t>
            </w:r>
          </w:p>
        </w:tc>
        <w:tc>
          <w:tcPr>
            <w:tcW w:w="1489" w:type="dxa"/>
            <w:vAlign w:val="center"/>
          </w:tcPr>
          <w:p>
            <w:pPr>
              <w:jc w:val="center"/>
              <w:rPr>
                <w:rFonts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未组织扣5分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default"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14</w:t>
            </w:r>
          </w:p>
        </w:tc>
        <w:tc>
          <w:tcPr>
            <w:tcW w:w="4496" w:type="dxa"/>
            <w:vAlign w:val="center"/>
          </w:tcPr>
          <w:p>
            <w:pPr>
              <w:jc w:val="left"/>
              <w:rPr>
                <w:rFonts w:hint="eastAsia" w:ascii="宋体" w:hAnsi="宋体" w:eastAsia="宋体" w:cs="Times New Roman"/>
                <w:bCs/>
                <w:sz w:val="22"/>
                <w:szCs w:val="22"/>
                <w:lang w:val="en-US" w:eastAsia="zh-CN" w:bidi="ar-SA"/>
              </w:rPr>
            </w:pPr>
            <w:r>
              <w:rPr>
                <w:rFonts w:hint="eastAsia" w:ascii="Calibri" w:hAnsi="宋体" w:cs="Times New Roman"/>
                <w:bCs/>
                <w:sz w:val="22"/>
                <w:szCs w:val="22"/>
                <w:lang w:val="en-US" w:eastAsia="zh-CN"/>
              </w:rPr>
              <w:t>督促中心各部门进行安全隐患整改，并给出指导性意见。</w:t>
            </w:r>
          </w:p>
        </w:tc>
        <w:tc>
          <w:tcPr>
            <w:tcW w:w="732" w:type="dxa"/>
            <w:vAlign w:val="center"/>
          </w:tcPr>
          <w:p>
            <w:pPr>
              <w:jc w:val="center"/>
              <w:rPr>
                <w:rFonts w:hint="eastAsia"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5分</w:t>
            </w:r>
          </w:p>
        </w:tc>
        <w:tc>
          <w:tcPr>
            <w:tcW w:w="1489" w:type="dxa"/>
            <w:vAlign w:val="center"/>
          </w:tcPr>
          <w:p>
            <w:pPr>
              <w:jc w:val="center"/>
              <w:rPr>
                <w:rFonts w:hint="default" w:ascii="宋体" w:hAnsi="Times New Roman" w:eastAsia="宋体" w:cs="Times New Roman"/>
                <w:sz w:val="24"/>
                <w:szCs w:val="24"/>
                <w:vertAlign w:val="baseline"/>
                <w:lang w:val="en-US" w:eastAsia="zh-CN" w:bidi="ar-SA"/>
              </w:rPr>
            </w:pPr>
            <w:r>
              <w:rPr>
                <w:rFonts w:hint="eastAsia" w:ascii="Calibri" w:hAnsi="Calibri" w:cs="Times New Roman"/>
                <w:szCs w:val="24"/>
                <w:vertAlign w:val="baseline"/>
                <w:lang w:val="en-US" w:eastAsia="zh-CN"/>
              </w:rPr>
              <w:t>每次扣1分，被上级督查扣每次2分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default" w:ascii="Calibri" w:hAnsi="Calibri" w:cs="Times New Roman"/>
                <w:szCs w:val="24"/>
                <w:vertAlign w:val="baseline"/>
                <w:lang w:val="en-US" w:eastAsia="zh-CN"/>
              </w:rPr>
            </w:pPr>
            <w:r>
              <w:rPr>
                <w:rFonts w:hint="eastAsia" w:ascii="Calibri" w:hAnsi="Calibri" w:cs="Times New Roman"/>
                <w:szCs w:val="24"/>
                <w:vertAlign w:val="baseline"/>
                <w:lang w:val="en-US" w:eastAsia="zh-CN"/>
              </w:rPr>
              <w:t>15</w:t>
            </w:r>
          </w:p>
        </w:tc>
        <w:tc>
          <w:tcPr>
            <w:tcW w:w="4496" w:type="dxa"/>
            <w:vAlign w:val="center"/>
          </w:tcPr>
          <w:p>
            <w:pPr>
              <w:jc w:val="left"/>
              <w:rPr>
                <w:rFonts w:hint="default" w:ascii="宋体" w:hAnsi="宋体" w:eastAsia="宋体" w:cs="Times New Roman"/>
                <w:bCs/>
                <w:sz w:val="22"/>
                <w:szCs w:val="22"/>
                <w:lang w:val="en-US" w:eastAsia="zh-CN" w:bidi="ar-SA"/>
              </w:rPr>
            </w:pPr>
            <w:r>
              <w:rPr>
                <w:rFonts w:hint="eastAsia" w:ascii="Calibri" w:hAnsi="宋体" w:cs="Times New Roman"/>
                <w:bCs/>
                <w:sz w:val="22"/>
                <w:szCs w:val="22"/>
                <w:lang w:val="en-US" w:eastAsia="zh-CN"/>
              </w:rPr>
              <w:t>主动对接市局及上级相关安全生产及消防单位，针对上级发现的隐患问题，进行技术指导和可行性整改建议。</w:t>
            </w:r>
          </w:p>
        </w:tc>
        <w:tc>
          <w:tcPr>
            <w:tcW w:w="732" w:type="dxa"/>
            <w:vAlign w:val="center"/>
          </w:tcPr>
          <w:p>
            <w:pPr>
              <w:jc w:val="center"/>
              <w:rPr>
                <w:rFonts w:hint="eastAsia"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5分</w:t>
            </w:r>
          </w:p>
        </w:tc>
        <w:tc>
          <w:tcPr>
            <w:tcW w:w="1489" w:type="dxa"/>
            <w:vAlign w:val="center"/>
          </w:tcPr>
          <w:p>
            <w:pPr>
              <w:jc w:val="center"/>
              <w:rPr>
                <w:rFonts w:hint="default" w:ascii="Calibri" w:hAnsi="Calibri" w:eastAsia="宋体" w:cs="Times New Roman"/>
                <w:szCs w:val="24"/>
                <w:vertAlign w:val="baseline"/>
                <w:lang w:val="en-US" w:eastAsia="zh-CN"/>
              </w:rPr>
            </w:pPr>
            <w:r>
              <w:rPr>
                <w:rFonts w:hint="eastAsia" w:ascii="Calibri" w:hAnsi="Calibri" w:cs="Times New Roman"/>
                <w:szCs w:val="24"/>
                <w:vertAlign w:val="baseline"/>
                <w:lang w:val="en-US" w:eastAsia="zh-CN"/>
              </w:rPr>
              <w:t>每次扣1分，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default" w:ascii="Calibri" w:hAnsi="Calibri" w:cs="Times New Roman"/>
                <w:szCs w:val="24"/>
                <w:vertAlign w:val="baseline"/>
                <w:lang w:val="en-US" w:eastAsia="zh-CN"/>
              </w:rPr>
            </w:pPr>
            <w:r>
              <w:rPr>
                <w:rFonts w:hint="eastAsia" w:ascii="Calibri" w:hAnsi="Calibri" w:cs="Times New Roman"/>
                <w:szCs w:val="24"/>
                <w:vertAlign w:val="baseline"/>
                <w:lang w:val="en-US" w:eastAsia="zh-CN"/>
              </w:rPr>
              <w:t>16</w:t>
            </w:r>
          </w:p>
        </w:tc>
        <w:tc>
          <w:tcPr>
            <w:tcW w:w="4496" w:type="dxa"/>
            <w:vAlign w:val="center"/>
          </w:tcPr>
          <w:p>
            <w:pPr>
              <w:jc w:val="left"/>
              <w:rPr>
                <w:rFonts w:hint="default" w:ascii="宋体" w:hAnsi="宋体" w:eastAsia="宋体" w:cs="Times New Roman"/>
                <w:bCs/>
                <w:sz w:val="22"/>
                <w:szCs w:val="22"/>
                <w:lang w:val="en-US" w:eastAsia="zh-CN" w:bidi="ar-SA"/>
              </w:rPr>
            </w:pPr>
            <w:r>
              <w:rPr>
                <w:rFonts w:hint="eastAsia" w:ascii="Calibri" w:hAnsi="宋体" w:cs="Times New Roman"/>
                <w:bCs/>
                <w:sz w:val="22"/>
                <w:szCs w:val="22"/>
                <w:lang w:val="en-US" w:eastAsia="zh-CN" w:bidi="ar-SA"/>
              </w:rPr>
              <w:t>及时响应中心突发事件，并指导中心进行处置。及时响应中心的其他重大活动安全保障。</w:t>
            </w:r>
          </w:p>
        </w:tc>
        <w:tc>
          <w:tcPr>
            <w:tcW w:w="732" w:type="dxa"/>
            <w:vAlign w:val="center"/>
          </w:tcPr>
          <w:p>
            <w:pPr>
              <w:jc w:val="center"/>
              <w:rPr>
                <w:rFonts w:ascii="Calibri" w:hAnsi="Calibri" w:cs="Times New Roman"/>
                <w:szCs w:val="24"/>
                <w:vertAlign w:val="baseline"/>
              </w:rPr>
            </w:pPr>
            <w:r>
              <w:rPr>
                <w:rFonts w:hint="eastAsia" w:ascii="Calibri" w:hAnsi="Calibri" w:cs="Times New Roman"/>
                <w:szCs w:val="24"/>
                <w:vertAlign w:val="baseline"/>
                <w:lang w:val="en-US" w:eastAsia="zh-CN"/>
              </w:rPr>
              <w:t>10分</w:t>
            </w:r>
          </w:p>
        </w:tc>
        <w:tc>
          <w:tcPr>
            <w:tcW w:w="1489" w:type="dxa"/>
            <w:vAlign w:val="center"/>
          </w:tcPr>
          <w:p>
            <w:pPr>
              <w:jc w:val="center"/>
              <w:rPr>
                <w:rFonts w:hint="eastAsia" w:ascii="Calibri" w:hAnsi="宋体" w:cs="Times New Roman"/>
                <w:bCs/>
                <w:sz w:val="22"/>
                <w:szCs w:val="22"/>
                <w:lang w:val="en-US" w:eastAsia="zh-CN" w:bidi="ar-SA"/>
              </w:rPr>
            </w:pPr>
            <w:r>
              <w:rPr>
                <w:rFonts w:hint="eastAsia" w:ascii="Calibri" w:hAnsi="宋体" w:cs="Times New Roman"/>
                <w:bCs/>
                <w:sz w:val="22"/>
                <w:szCs w:val="22"/>
                <w:lang w:val="en-US" w:eastAsia="zh-CN" w:bidi="ar-SA"/>
              </w:rPr>
              <w:t>响应不及时扣1分/次，未响应扣5分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default" w:ascii="Calibri" w:hAnsi="Calibri" w:cs="Times New Roman"/>
                <w:szCs w:val="24"/>
                <w:vertAlign w:val="baseline"/>
                <w:lang w:val="en-US" w:eastAsia="zh-CN"/>
              </w:rPr>
            </w:pPr>
            <w:r>
              <w:rPr>
                <w:rFonts w:hint="eastAsia" w:ascii="Calibri" w:hAnsi="Calibri" w:cs="Times New Roman"/>
                <w:szCs w:val="24"/>
                <w:vertAlign w:val="baseline"/>
                <w:lang w:val="en-US" w:eastAsia="zh-CN"/>
              </w:rPr>
              <w:t>17</w:t>
            </w:r>
          </w:p>
        </w:tc>
        <w:tc>
          <w:tcPr>
            <w:tcW w:w="4496" w:type="dxa"/>
            <w:vAlign w:val="center"/>
          </w:tcPr>
          <w:p>
            <w:pPr>
              <w:jc w:val="center"/>
              <w:rPr>
                <w:rFonts w:hint="eastAsia" w:ascii="Calibri" w:hAnsi="宋体" w:cs="Times New Roman"/>
                <w:bCs/>
                <w:sz w:val="22"/>
                <w:szCs w:val="22"/>
                <w:lang w:val="en-US" w:eastAsia="zh-CN" w:bidi="ar-SA"/>
              </w:rPr>
            </w:pPr>
            <w:r>
              <w:rPr>
                <w:rFonts w:hint="eastAsia" w:ascii="Calibri" w:hAnsi="宋体" w:cs="Times New Roman"/>
                <w:bCs/>
                <w:sz w:val="22"/>
                <w:szCs w:val="22"/>
                <w:lang w:val="en-US" w:eastAsia="zh-CN"/>
              </w:rPr>
              <w:t>参加中心重大节假日、内部专项大检查，并提出专业建议。</w:t>
            </w:r>
          </w:p>
        </w:tc>
        <w:tc>
          <w:tcPr>
            <w:tcW w:w="732" w:type="dxa"/>
            <w:vAlign w:val="center"/>
          </w:tcPr>
          <w:p>
            <w:pPr>
              <w:jc w:val="center"/>
              <w:rPr>
                <w:rFonts w:hint="default" w:ascii="Calibri" w:hAnsi="Calibri" w:cs="Times New Roman"/>
                <w:szCs w:val="24"/>
                <w:vertAlign w:val="baseline"/>
                <w:lang w:val="en-US" w:eastAsia="zh-CN"/>
              </w:rPr>
            </w:pPr>
            <w:r>
              <w:rPr>
                <w:rFonts w:hint="eastAsia" w:ascii="Calibri" w:hAnsi="Calibri" w:cs="Times New Roman"/>
                <w:szCs w:val="24"/>
                <w:vertAlign w:val="baseline"/>
                <w:lang w:val="en-US" w:eastAsia="zh-CN"/>
              </w:rPr>
              <w:t>5分</w:t>
            </w:r>
          </w:p>
        </w:tc>
        <w:tc>
          <w:tcPr>
            <w:tcW w:w="1489" w:type="dxa"/>
            <w:vAlign w:val="center"/>
          </w:tcPr>
          <w:p>
            <w:pPr>
              <w:jc w:val="center"/>
              <w:rPr>
                <w:rFonts w:hint="default" w:ascii="Calibri" w:hAnsi="宋体" w:cs="Times New Roman"/>
                <w:bCs/>
                <w:sz w:val="22"/>
                <w:szCs w:val="22"/>
                <w:lang w:val="en-US" w:eastAsia="zh-CN" w:bidi="ar-SA"/>
              </w:rPr>
            </w:pPr>
            <w:r>
              <w:rPr>
                <w:rFonts w:hint="eastAsia" w:ascii="Calibri" w:hAnsi="宋体" w:cs="Times New Roman"/>
                <w:bCs/>
                <w:sz w:val="22"/>
                <w:szCs w:val="22"/>
                <w:lang w:val="en-US" w:eastAsia="zh-CN" w:bidi="ar-SA"/>
              </w:rPr>
              <w:t>未参加，或未给出合理建议扣1分/次</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84" w:type="dxa"/>
            <w:vMerge w:val="continue"/>
            <w:vAlign w:val="center"/>
          </w:tcPr>
          <w:p>
            <w:pPr>
              <w:jc w:val="center"/>
              <w:rPr>
                <w:rFonts w:ascii="Calibri" w:hAnsi="Calibri" w:cs="Times New Roman"/>
                <w:szCs w:val="24"/>
                <w:vertAlign w:val="baseline"/>
              </w:rPr>
            </w:pPr>
          </w:p>
        </w:tc>
        <w:tc>
          <w:tcPr>
            <w:tcW w:w="542" w:type="dxa"/>
            <w:vAlign w:val="center"/>
          </w:tcPr>
          <w:p>
            <w:pPr>
              <w:jc w:val="center"/>
              <w:rPr>
                <w:rFonts w:hint="default" w:ascii="Calibri" w:hAnsi="Calibri" w:cs="Times New Roman"/>
                <w:szCs w:val="24"/>
                <w:vertAlign w:val="baseline"/>
                <w:lang w:val="en-US" w:eastAsia="zh-CN"/>
              </w:rPr>
            </w:pPr>
            <w:r>
              <w:rPr>
                <w:rFonts w:hint="eastAsia" w:ascii="Calibri" w:hAnsi="Calibri" w:cs="Times New Roman"/>
                <w:szCs w:val="24"/>
                <w:vertAlign w:val="baseline"/>
                <w:lang w:val="en-US" w:eastAsia="zh-CN"/>
              </w:rPr>
              <w:t>18</w:t>
            </w:r>
          </w:p>
        </w:tc>
        <w:tc>
          <w:tcPr>
            <w:tcW w:w="4496" w:type="dxa"/>
            <w:vAlign w:val="center"/>
          </w:tcPr>
          <w:p>
            <w:pPr>
              <w:jc w:val="center"/>
              <w:rPr>
                <w:rFonts w:hint="eastAsia" w:ascii="Calibri" w:hAnsi="宋体" w:cs="Times New Roman"/>
                <w:bCs/>
                <w:sz w:val="22"/>
                <w:szCs w:val="22"/>
                <w:lang w:val="en-US" w:eastAsia="zh-CN"/>
              </w:rPr>
            </w:pPr>
            <w:r>
              <w:rPr>
                <w:rFonts w:hint="eastAsia" w:ascii="Calibri" w:hAnsi="宋体" w:cs="Times New Roman"/>
                <w:bCs/>
                <w:sz w:val="22"/>
                <w:szCs w:val="22"/>
                <w:lang w:val="en-US" w:eastAsia="zh-CN" w:bidi="ar-SA"/>
              </w:rPr>
              <w:t>指导协助中心处置安全生产其他事项。</w:t>
            </w:r>
          </w:p>
        </w:tc>
        <w:tc>
          <w:tcPr>
            <w:tcW w:w="732" w:type="dxa"/>
            <w:vAlign w:val="center"/>
          </w:tcPr>
          <w:p>
            <w:pPr>
              <w:jc w:val="center"/>
              <w:rPr>
                <w:rFonts w:hint="eastAsia" w:ascii="Calibri" w:hAnsi="Calibri" w:cs="Times New Roman"/>
                <w:szCs w:val="24"/>
                <w:vertAlign w:val="baseline"/>
                <w:lang w:val="en-US" w:eastAsia="zh-CN"/>
              </w:rPr>
            </w:pPr>
            <w:r>
              <w:rPr>
                <w:rFonts w:hint="eastAsia" w:ascii="Calibri" w:hAnsi="Calibri" w:cs="Times New Roman"/>
                <w:szCs w:val="24"/>
                <w:vertAlign w:val="baseline"/>
                <w:lang w:val="en-US" w:eastAsia="zh-CN"/>
              </w:rPr>
              <w:t>5分</w:t>
            </w:r>
          </w:p>
        </w:tc>
        <w:tc>
          <w:tcPr>
            <w:tcW w:w="1489" w:type="dxa"/>
            <w:vAlign w:val="center"/>
          </w:tcPr>
          <w:p>
            <w:pPr>
              <w:jc w:val="center"/>
              <w:rPr>
                <w:rFonts w:hint="default" w:ascii="Calibri" w:hAnsi="Calibri" w:cs="Times New Roman"/>
                <w:szCs w:val="24"/>
                <w:vertAlign w:val="baseline"/>
                <w:lang w:val="en-US" w:eastAsia="zh-CN"/>
              </w:rPr>
            </w:pPr>
            <w:r>
              <w:rPr>
                <w:rFonts w:hint="eastAsia" w:ascii="Calibri" w:hAnsi="Calibri" w:cs="Times New Roman"/>
                <w:szCs w:val="24"/>
                <w:vertAlign w:val="baseline"/>
                <w:lang w:val="en-US" w:eastAsia="zh-CN"/>
              </w:rPr>
              <w:t>扣1分/次</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43" w:type="dxa"/>
            <w:gridSpan w:val="5"/>
            <w:vAlign w:val="center"/>
          </w:tcPr>
          <w:p>
            <w:pPr>
              <w:jc w:val="center"/>
              <w:rPr>
                <w:rFonts w:hint="eastAsia" w:ascii="Calibri" w:hAnsi="Calibri" w:cs="Times New Roman"/>
                <w:szCs w:val="24"/>
                <w:vertAlign w:val="baseline"/>
                <w:lang w:val="en-US" w:eastAsia="zh-CN"/>
              </w:rPr>
            </w:pPr>
            <w:r>
              <w:rPr>
                <w:rFonts w:hint="eastAsia" w:ascii="Calibri" w:hAnsi="Calibri" w:cs="Times New Roman"/>
                <w:szCs w:val="24"/>
                <w:vertAlign w:val="baseline"/>
                <w:lang w:eastAsia="zh-CN"/>
              </w:rPr>
              <w:t>考核总分</w:t>
            </w:r>
          </w:p>
        </w:tc>
        <w:tc>
          <w:tcPr>
            <w:tcW w:w="1173" w:type="dxa"/>
            <w:vAlign w:val="center"/>
          </w:tcPr>
          <w:p>
            <w:pPr>
              <w:jc w:val="center"/>
              <w:rPr>
                <w:rFonts w:ascii="Calibri" w:hAnsi="Calibri" w:cs="Times New Roman"/>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116"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Calibri" w:hAnsi="Calibri" w:eastAsia="宋体" w:cs="Times New Roman"/>
                <w:szCs w:val="24"/>
                <w:vertAlign w:val="baseline"/>
                <w:lang w:eastAsia="zh-CN"/>
              </w:rPr>
            </w:pPr>
            <w:r>
              <w:rPr>
                <w:rFonts w:hint="eastAsia" w:ascii="Calibri" w:hAnsi="Calibri" w:cs="Times New Roman"/>
                <w:szCs w:val="24"/>
                <w:vertAlign w:val="baseline"/>
                <w:lang w:eastAsia="zh-CN"/>
              </w:rPr>
              <w:t>注：</w:t>
            </w:r>
            <w:r>
              <w:rPr>
                <w:rFonts w:hint="eastAsia" w:ascii="Calibri" w:hAnsi="宋体" w:cs="Times New Roman"/>
                <w:bCs/>
                <w:sz w:val="22"/>
                <w:szCs w:val="22"/>
                <w:lang w:val="en-US" w:eastAsia="zh-CN" w:bidi="ar-SA"/>
              </w:rPr>
              <w:t>月度考核评分低于80分为不合格，连续2个月不合格或在服务过程中因中标方失职造成重大社会影响及损失的，采购人有权解除合同。</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20" w:lineRule="atLeast"/>
        <w:ind w:left="0" w:right="0" w:firstLine="560" w:firstLineChars="200"/>
        <w:rPr>
          <w:rFonts w:hint="eastAsia" w:ascii="仿宋_GB2312" w:hAnsi="宋体" w:eastAsia="仿宋_GB2312" w:cs="宋体"/>
          <w:color w:val="000000"/>
          <w:kern w:val="0"/>
          <w:sz w:val="30"/>
          <w:szCs w:val="30"/>
        </w:rPr>
      </w:pPr>
      <w:r>
        <w:rPr>
          <w:rFonts w:hint="eastAsia" w:ascii="Calibri" w:hAnsi="Calibri" w:cs="Times New Roman"/>
          <w:sz w:val="28"/>
          <w:szCs w:val="21"/>
          <w:lang w:val="en-US" w:eastAsia="zh-CN"/>
        </w:rPr>
        <w:t>考核人：                               审核人：</w:t>
      </w:r>
      <w:r>
        <w:rPr>
          <w:rFonts w:hint="default" w:ascii="Calibri" w:hAnsi="Calibri" w:eastAsia="微软雅黑" w:cs="Calibri"/>
          <w:i w:val="0"/>
          <w:iCs w:val="0"/>
          <w:caps w:val="0"/>
          <w:color w:val="000000"/>
          <w:spacing w:val="0"/>
          <w:sz w:val="19"/>
          <w:szCs w:val="19"/>
          <w:shd w:val="clear" w:color="auto" w:fill="auto"/>
        </w:rPr>
        <w:t> </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A30D9"/>
    <w:rsid w:val="292A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eastAsia="宋体"/>
      <w:b/>
      <w:kern w:val="44"/>
      <w:sz w:val="28"/>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No Spacing"/>
    <w:qFormat/>
    <w:uiPriority w:val="1"/>
    <w:pPr>
      <w:adjustRightInd w:val="0"/>
      <w:snapToGrid w:val="0"/>
    </w:pPr>
    <w:rPr>
      <w:rFonts w:ascii="Tahoma" w:hAnsi="Tahoma" w:eastAsia="微软雅黑" w:cs="宋体"/>
      <w:sz w:val="22"/>
      <w:szCs w:val="22"/>
      <w:lang w:val="en-US" w:eastAsia="zh-CN" w:bidi="ar-SA"/>
    </w:rPr>
  </w:style>
  <w:style w:type="paragraph" w:customStyle="1" w:styleId="9">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2024-12-13T06:05:00Z</dcterms:created>
  <dc:creator>fwh</dc:creator>
  <cp:lastModifiedBy>fwh</cp:lastModifiedBy>
  <dcterms:modified xsi:type="dcterms:W3CDTF">2024-12-13T06:08:38Z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